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336" w:rsidRPr="00812336" w:rsidRDefault="00812336" w:rsidP="00812336">
      <w:pPr>
        <w:ind w:firstLine="720"/>
        <w:rPr>
          <w:color w:val="17365D" w:themeColor="text2" w:themeShade="BF"/>
          <w:szCs w:val="20"/>
        </w:rPr>
      </w:pPr>
      <w:r w:rsidRPr="00812336">
        <w:rPr>
          <w:b/>
          <w:bCs/>
          <w:noProof/>
          <w:color w:val="17365D" w:themeColor="text2" w:themeShade="BF"/>
          <w:sz w:val="60"/>
          <w:szCs w:val="60"/>
        </w:rPr>
        <w:drawing>
          <wp:anchor distT="0" distB="0" distL="114300" distR="114300" simplePos="0" relativeHeight="251659264" behindDoc="1" locked="0" layoutInCell="1" allowOverlap="1" wp14:anchorId="229C6947" wp14:editId="657FA015">
            <wp:simplePos x="0" y="0"/>
            <wp:positionH relativeFrom="column">
              <wp:posOffset>0</wp:posOffset>
            </wp:positionH>
            <wp:positionV relativeFrom="paragraph">
              <wp:posOffset>5080</wp:posOffset>
            </wp:positionV>
            <wp:extent cx="1023620" cy="8959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3620" cy="895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2336">
        <w:rPr>
          <w:b/>
          <w:bCs/>
          <w:i/>
          <w:iCs/>
          <w:color w:val="17365D" w:themeColor="text2" w:themeShade="BF"/>
          <w:sz w:val="36"/>
          <w:szCs w:val="36"/>
        </w:rPr>
        <w:t xml:space="preserve"> West Virginia Division of Personnel</w:t>
      </w:r>
    </w:p>
    <w:p w:rsidR="00812336" w:rsidRPr="00812336" w:rsidRDefault="00812336" w:rsidP="00812336">
      <w:pPr>
        <w:rPr>
          <w:color w:val="17365D" w:themeColor="text2" w:themeShade="BF"/>
          <w:szCs w:val="20"/>
        </w:rPr>
      </w:pPr>
    </w:p>
    <w:p w:rsidR="00812336" w:rsidRPr="00812336" w:rsidRDefault="00812336" w:rsidP="00812336">
      <w:pPr>
        <w:autoSpaceDE w:val="0"/>
        <w:autoSpaceDN w:val="0"/>
        <w:adjustRightInd w:val="0"/>
        <w:rPr>
          <w:b/>
          <w:bCs/>
          <w:color w:val="17365D" w:themeColor="text2" w:themeShade="BF"/>
          <w:sz w:val="60"/>
          <w:szCs w:val="60"/>
        </w:rPr>
      </w:pPr>
    </w:p>
    <w:p w:rsidR="00812336" w:rsidRPr="00812336" w:rsidRDefault="00812336" w:rsidP="00812336">
      <w:pPr>
        <w:autoSpaceDE w:val="0"/>
        <w:autoSpaceDN w:val="0"/>
        <w:adjustRightInd w:val="0"/>
        <w:rPr>
          <w:b/>
          <w:bCs/>
          <w:sz w:val="60"/>
          <w:szCs w:val="60"/>
        </w:rPr>
      </w:pPr>
    </w:p>
    <w:p w:rsidR="00812336" w:rsidRPr="00812336" w:rsidRDefault="00812336" w:rsidP="00812336">
      <w:pPr>
        <w:autoSpaceDE w:val="0"/>
        <w:autoSpaceDN w:val="0"/>
        <w:adjustRightInd w:val="0"/>
        <w:rPr>
          <w:b/>
          <w:bCs/>
          <w:sz w:val="60"/>
          <w:szCs w:val="60"/>
        </w:rPr>
      </w:pPr>
    </w:p>
    <w:p w:rsidR="00812336" w:rsidRPr="00812336" w:rsidRDefault="00812336" w:rsidP="00812336">
      <w:pPr>
        <w:autoSpaceDE w:val="0"/>
        <w:autoSpaceDN w:val="0"/>
        <w:adjustRightInd w:val="0"/>
        <w:rPr>
          <w:b/>
          <w:bCs/>
          <w:sz w:val="60"/>
          <w:szCs w:val="60"/>
        </w:rPr>
      </w:pPr>
    </w:p>
    <w:p w:rsidR="00812336" w:rsidRPr="00812336" w:rsidRDefault="00812336" w:rsidP="00812336">
      <w:pPr>
        <w:autoSpaceDE w:val="0"/>
        <w:autoSpaceDN w:val="0"/>
        <w:adjustRightInd w:val="0"/>
        <w:rPr>
          <w:b/>
          <w:bCs/>
          <w:sz w:val="60"/>
          <w:szCs w:val="60"/>
        </w:rPr>
      </w:pPr>
    </w:p>
    <w:p w:rsidR="00812336" w:rsidRPr="00812336" w:rsidRDefault="00812336" w:rsidP="00812336">
      <w:pPr>
        <w:autoSpaceDE w:val="0"/>
        <w:autoSpaceDN w:val="0"/>
        <w:adjustRightInd w:val="0"/>
        <w:rPr>
          <w:b/>
          <w:bCs/>
          <w:sz w:val="60"/>
          <w:szCs w:val="60"/>
        </w:rPr>
      </w:pPr>
    </w:p>
    <w:p w:rsidR="00812336" w:rsidRPr="00812336" w:rsidRDefault="00812336" w:rsidP="00812336">
      <w:pPr>
        <w:autoSpaceDE w:val="0"/>
        <w:autoSpaceDN w:val="0"/>
        <w:adjustRightInd w:val="0"/>
        <w:rPr>
          <w:b/>
          <w:bCs/>
          <w:sz w:val="60"/>
          <w:szCs w:val="60"/>
        </w:rPr>
      </w:pPr>
    </w:p>
    <w:p w:rsidR="00812336" w:rsidRPr="00812336" w:rsidRDefault="00812336" w:rsidP="00812336">
      <w:pPr>
        <w:autoSpaceDE w:val="0"/>
        <w:autoSpaceDN w:val="0"/>
        <w:adjustRightInd w:val="0"/>
        <w:jc w:val="center"/>
        <w:rPr>
          <w:b/>
          <w:bCs/>
          <w:color w:val="17365D" w:themeColor="text2" w:themeShade="BF"/>
          <w:sz w:val="60"/>
          <w:szCs w:val="60"/>
        </w:rPr>
      </w:pPr>
      <w:r w:rsidRPr="00812336">
        <w:rPr>
          <w:b/>
          <w:bCs/>
          <w:color w:val="17365D" w:themeColor="text2" w:themeShade="BF"/>
          <w:sz w:val="60"/>
          <w:szCs w:val="60"/>
        </w:rPr>
        <w:t>SUPERVISOR’S GUIDE</w:t>
      </w:r>
    </w:p>
    <w:p w:rsidR="00812336" w:rsidRPr="00812336" w:rsidRDefault="00812336" w:rsidP="00812336">
      <w:pPr>
        <w:autoSpaceDE w:val="0"/>
        <w:autoSpaceDN w:val="0"/>
        <w:adjustRightInd w:val="0"/>
        <w:jc w:val="center"/>
        <w:rPr>
          <w:b/>
          <w:bCs/>
          <w:color w:val="4F6228" w:themeColor="accent3" w:themeShade="80"/>
          <w:sz w:val="48"/>
          <w:szCs w:val="48"/>
        </w:rPr>
      </w:pPr>
      <w:r w:rsidRPr="00812336">
        <w:rPr>
          <w:b/>
          <w:bCs/>
          <w:color w:val="4F6228" w:themeColor="accent3" w:themeShade="80"/>
          <w:sz w:val="48"/>
          <w:szCs w:val="48"/>
        </w:rPr>
        <w:t>TO</w:t>
      </w:r>
    </w:p>
    <w:p w:rsidR="00812336" w:rsidRPr="00812336" w:rsidRDefault="00A66342" w:rsidP="00A66342">
      <w:pPr>
        <w:autoSpaceDE w:val="0"/>
        <w:autoSpaceDN w:val="0"/>
        <w:adjustRightInd w:val="0"/>
        <w:jc w:val="center"/>
        <w:rPr>
          <w:b/>
          <w:bCs/>
          <w:color w:val="17365D" w:themeColor="text2" w:themeShade="BF"/>
          <w:sz w:val="56"/>
          <w:szCs w:val="56"/>
        </w:rPr>
      </w:pPr>
      <w:r w:rsidRPr="00A66342">
        <w:rPr>
          <w:b/>
          <w:bCs/>
          <w:color w:val="17365D" w:themeColor="text2" w:themeShade="BF"/>
          <w:sz w:val="56"/>
          <w:szCs w:val="56"/>
        </w:rPr>
        <w:t>CREDITING THE ANNUAL MILITARY LEAVE ALLOTMENTS</w:t>
      </w:r>
    </w:p>
    <w:p w:rsidR="00812336" w:rsidRPr="00812336" w:rsidRDefault="00812336" w:rsidP="00812336">
      <w:pPr>
        <w:autoSpaceDE w:val="0"/>
        <w:autoSpaceDN w:val="0"/>
        <w:adjustRightInd w:val="0"/>
        <w:rPr>
          <w:b/>
          <w:bCs/>
          <w:sz w:val="28"/>
          <w:szCs w:val="28"/>
        </w:rPr>
      </w:pPr>
    </w:p>
    <w:p w:rsidR="00812336" w:rsidRPr="00812336" w:rsidRDefault="00812336" w:rsidP="00812336">
      <w:pPr>
        <w:autoSpaceDE w:val="0"/>
        <w:autoSpaceDN w:val="0"/>
        <w:adjustRightInd w:val="0"/>
        <w:rPr>
          <w:b/>
          <w:bCs/>
          <w:sz w:val="28"/>
          <w:szCs w:val="28"/>
        </w:rPr>
      </w:pPr>
    </w:p>
    <w:p w:rsidR="00812336" w:rsidRPr="00812336" w:rsidRDefault="00812336" w:rsidP="00812336">
      <w:pPr>
        <w:autoSpaceDE w:val="0"/>
        <w:autoSpaceDN w:val="0"/>
        <w:adjustRightInd w:val="0"/>
        <w:rPr>
          <w:b/>
          <w:bCs/>
          <w:sz w:val="28"/>
          <w:szCs w:val="28"/>
        </w:rPr>
      </w:pPr>
    </w:p>
    <w:p w:rsidR="00812336" w:rsidRPr="00812336" w:rsidRDefault="00812336" w:rsidP="00812336">
      <w:pPr>
        <w:autoSpaceDE w:val="0"/>
        <w:autoSpaceDN w:val="0"/>
        <w:adjustRightInd w:val="0"/>
        <w:rPr>
          <w:b/>
          <w:bCs/>
          <w:sz w:val="28"/>
          <w:szCs w:val="28"/>
        </w:rPr>
      </w:pPr>
    </w:p>
    <w:p w:rsidR="00812336" w:rsidRPr="00812336" w:rsidRDefault="00812336" w:rsidP="00812336">
      <w:pPr>
        <w:autoSpaceDE w:val="0"/>
        <w:autoSpaceDN w:val="0"/>
        <w:adjustRightInd w:val="0"/>
        <w:rPr>
          <w:b/>
          <w:bCs/>
          <w:sz w:val="28"/>
          <w:szCs w:val="28"/>
        </w:rPr>
      </w:pPr>
    </w:p>
    <w:p w:rsidR="00812336" w:rsidRPr="00812336" w:rsidRDefault="00812336" w:rsidP="00812336">
      <w:pPr>
        <w:autoSpaceDE w:val="0"/>
        <w:autoSpaceDN w:val="0"/>
        <w:adjustRightInd w:val="0"/>
        <w:rPr>
          <w:b/>
          <w:bCs/>
          <w:sz w:val="28"/>
          <w:szCs w:val="28"/>
        </w:rPr>
      </w:pPr>
    </w:p>
    <w:p w:rsidR="00812336" w:rsidRPr="00812336" w:rsidRDefault="00812336" w:rsidP="00812336">
      <w:pPr>
        <w:autoSpaceDE w:val="0"/>
        <w:autoSpaceDN w:val="0"/>
        <w:adjustRightInd w:val="0"/>
        <w:rPr>
          <w:b/>
          <w:bCs/>
          <w:sz w:val="28"/>
          <w:szCs w:val="28"/>
        </w:rPr>
      </w:pPr>
    </w:p>
    <w:p w:rsidR="00812336" w:rsidRPr="00812336" w:rsidRDefault="00812336" w:rsidP="00812336">
      <w:pPr>
        <w:autoSpaceDE w:val="0"/>
        <w:autoSpaceDN w:val="0"/>
        <w:adjustRightInd w:val="0"/>
        <w:rPr>
          <w:b/>
          <w:bCs/>
          <w:sz w:val="28"/>
          <w:szCs w:val="28"/>
        </w:rPr>
      </w:pPr>
    </w:p>
    <w:p w:rsidR="00812336" w:rsidRPr="00812336" w:rsidRDefault="00812336" w:rsidP="00812336">
      <w:pPr>
        <w:autoSpaceDE w:val="0"/>
        <w:autoSpaceDN w:val="0"/>
        <w:adjustRightInd w:val="0"/>
        <w:rPr>
          <w:b/>
          <w:bCs/>
          <w:sz w:val="28"/>
          <w:szCs w:val="28"/>
        </w:rPr>
      </w:pPr>
    </w:p>
    <w:p w:rsidR="00812336" w:rsidRPr="00812336" w:rsidRDefault="00812336" w:rsidP="00812336">
      <w:pPr>
        <w:autoSpaceDE w:val="0"/>
        <w:autoSpaceDN w:val="0"/>
        <w:adjustRightInd w:val="0"/>
        <w:rPr>
          <w:b/>
          <w:bCs/>
          <w:sz w:val="28"/>
          <w:szCs w:val="28"/>
        </w:rPr>
      </w:pPr>
    </w:p>
    <w:p w:rsidR="00812336" w:rsidRPr="00812336" w:rsidRDefault="00812336" w:rsidP="00812336">
      <w:pPr>
        <w:autoSpaceDE w:val="0"/>
        <w:autoSpaceDN w:val="0"/>
        <w:adjustRightInd w:val="0"/>
        <w:rPr>
          <w:b/>
          <w:bCs/>
          <w:sz w:val="28"/>
          <w:szCs w:val="28"/>
        </w:rPr>
      </w:pPr>
    </w:p>
    <w:p w:rsidR="00812336" w:rsidRPr="00812336" w:rsidRDefault="00812336" w:rsidP="00812336">
      <w:pPr>
        <w:autoSpaceDE w:val="0"/>
        <w:autoSpaceDN w:val="0"/>
        <w:adjustRightInd w:val="0"/>
        <w:rPr>
          <w:b/>
          <w:bCs/>
          <w:sz w:val="28"/>
          <w:szCs w:val="28"/>
        </w:rPr>
      </w:pPr>
    </w:p>
    <w:p w:rsidR="00812336" w:rsidRPr="00812336" w:rsidRDefault="00812336" w:rsidP="00812336">
      <w:pPr>
        <w:autoSpaceDE w:val="0"/>
        <w:autoSpaceDN w:val="0"/>
        <w:adjustRightInd w:val="0"/>
        <w:rPr>
          <w:b/>
          <w:bCs/>
          <w:sz w:val="28"/>
          <w:szCs w:val="28"/>
        </w:rPr>
      </w:pPr>
    </w:p>
    <w:p w:rsidR="00812336" w:rsidRPr="00812336" w:rsidRDefault="00812336" w:rsidP="00812336">
      <w:pPr>
        <w:autoSpaceDE w:val="0"/>
        <w:autoSpaceDN w:val="0"/>
        <w:adjustRightInd w:val="0"/>
        <w:rPr>
          <w:b/>
          <w:bCs/>
          <w:sz w:val="28"/>
          <w:szCs w:val="28"/>
        </w:rPr>
      </w:pPr>
    </w:p>
    <w:p w:rsidR="00812336" w:rsidRPr="00812336" w:rsidRDefault="00812336" w:rsidP="00812336">
      <w:pPr>
        <w:autoSpaceDE w:val="0"/>
        <w:autoSpaceDN w:val="0"/>
        <w:adjustRightInd w:val="0"/>
        <w:jc w:val="right"/>
        <w:rPr>
          <w:b/>
          <w:bCs/>
          <w:color w:val="4F6228" w:themeColor="accent3" w:themeShade="80"/>
          <w:sz w:val="28"/>
          <w:szCs w:val="28"/>
        </w:rPr>
      </w:pPr>
      <w:r w:rsidRPr="00812336">
        <w:rPr>
          <w:b/>
          <w:bCs/>
          <w:color w:val="4F6228" w:themeColor="accent3" w:themeShade="80"/>
          <w:sz w:val="28"/>
          <w:szCs w:val="28"/>
        </w:rPr>
        <w:t>Employee Relations Section</w:t>
      </w:r>
    </w:p>
    <w:p w:rsidR="00812336" w:rsidRPr="00812336" w:rsidRDefault="00DC20FF" w:rsidP="00812336">
      <w:pPr>
        <w:autoSpaceDE w:val="0"/>
        <w:autoSpaceDN w:val="0"/>
        <w:adjustRightInd w:val="0"/>
        <w:jc w:val="right"/>
        <w:rPr>
          <w:b/>
          <w:bCs/>
          <w:color w:val="4F6228" w:themeColor="accent3" w:themeShade="80"/>
          <w:sz w:val="28"/>
          <w:szCs w:val="28"/>
        </w:rPr>
      </w:pPr>
      <w:r>
        <w:rPr>
          <w:b/>
          <w:bCs/>
          <w:color w:val="4F6228" w:themeColor="accent3" w:themeShade="80"/>
          <w:sz w:val="28"/>
          <w:szCs w:val="28"/>
        </w:rPr>
        <w:t>Novem</w:t>
      </w:r>
      <w:bookmarkStart w:id="0" w:name="_GoBack"/>
      <w:bookmarkEnd w:id="0"/>
      <w:r w:rsidR="00CF27B0">
        <w:rPr>
          <w:b/>
          <w:bCs/>
          <w:color w:val="4F6228" w:themeColor="accent3" w:themeShade="80"/>
          <w:sz w:val="28"/>
          <w:szCs w:val="28"/>
        </w:rPr>
        <w:t>ber 2014</w:t>
      </w:r>
    </w:p>
    <w:p w:rsidR="00E54DC0" w:rsidRDefault="00E54DC0" w:rsidP="00085AAD">
      <w:pPr>
        <w:autoSpaceDE w:val="0"/>
        <w:autoSpaceDN w:val="0"/>
        <w:adjustRightInd w:val="0"/>
        <w:jc w:val="center"/>
        <w:rPr>
          <w:b/>
          <w:caps/>
        </w:rPr>
      </w:pPr>
    </w:p>
    <w:p w:rsidR="00A47985" w:rsidRPr="005717D7" w:rsidRDefault="00E13323" w:rsidP="00FD01A5">
      <w:pPr>
        <w:autoSpaceDE w:val="0"/>
        <w:autoSpaceDN w:val="0"/>
        <w:adjustRightInd w:val="0"/>
        <w:jc w:val="both"/>
      </w:pPr>
      <w:r w:rsidRPr="005717D7">
        <w:lastRenderedPageBreak/>
        <w:t xml:space="preserve">Administration of paid military leave </w:t>
      </w:r>
      <w:r w:rsidR="000803B8" w:rsidRPr="005717D7">
        <w:t xml:space="preserve">for </w:t>
      </w:r>
      <w:r w:rsidRPr="005717D7">
        <w:t>West Virginia</w:t>
      </w:r>
      <w:r w:rsidR="005717D7" w:rsidRPr="005717D7">
        <w:t xml:space="preserve"> </w:t>
      </w:r>
      <w:r w:rsidRPr="005717D7">
        <w:t xml:space="preserve">state government </w:t>
      </w:r>
      <w:r w:rsidR="000803B8" w:rsidRPr="005717D7">
        <w:t xml:space="preserve">employees </w:t>
      </w:r>
      <w:r w:rsidRPr="005717D7">
        <w:t>is dictated by West Virginia Code 15-1F-1 (Attachment A)</w:t>
      </w:r>
      <w:r w:rsidR="00A47985" w:rsidRPr="005717D7">
        <w:t xml:space="preserve">.  To ease interpretation and application, </w:t>
      </w:r>
      <w:r w:rsidR="00487F96">
        <w:t>subs</w:t>
      </w:r>
      <w:r w:rsidR="00A47985" w:rsidRPr="005717D7">
        <w:t xml:space="preserve">ection 14.9 of the Division of Personnel </w:t>
      </w:r>
      <w:r w:rsidR="00A47985" w:rsidRPr="00F529D8">
        <w:rPr>
          <w:i/>
        </w:rPr>
        <w:t>Administrative Rule</w:t>
      </w:r>
      <w:r w:rsidR="00A47985" w:rsidRPr="005717D7">
        <w:t xml:space="preserve"> (Attachment B) incorporate</w:t>
      </w:r>
      <w:r w:rsidR="00487F96">
        <w:t>s</w:t>
      </w:r>
      <w:r w:rsidR="00A47985" w:rsidRPr="005717D7">
        <w:t xml:space="preserve"> the statutory r</w:t>
      </w:r>
      <w:r w:rsidR="002E7D7F">
        <w:t>e</w:t>
      </w:r>
      <w:r w:rsidR="00A47985" w:rsidRPr="005717D7">
        <w:t>visions.  Compliance with the Rule will ensure compliance with the statute.</w:t>
      </w:r>
    </w:p>
    <w:p w:rsidR="00A47985" w:rsidRDefault="00A47985" w:rsidP="00FD01A5">
      <w:pPr>
        <w:autoSpaceDE w:val="0"/>
        <w:autoSpaceDN w:val="0"/>
        <w:adjustRightInd w:val="0"/>
        <w:jc w:val="both"/>
        <w:rPr>
          <w:u w:val="single"/>
        </w:rPr>
      </w:pPr>
    </w:p>
    <w:p w:rsidR="00B069E1" w:rsidRPr="00852005" w:rsidRDefault="00183976" w:rsidP="00FD01A5">
      <w:pPr>
        <w:autoSpaceDE w:val="0"/>
        <w:autoSpaceDN w:val="0"/>
        <w:adjustRightInd w:val="0"/>
        <w:jc w:val="both"/>
      </w:pPr>
      <w:r w:rsidRPr="00852005">
        <w:t xml:space="preserve">The </w:t>
      </w:r>
      <w:r w:rsidR="00A47985" w:rsidRPr="00852005">
        <w:t xml:space="preserve">Rule </w:t>
      </w:r>
      <w:r w:rsidRPr="00852005">
        <w:t xml:space="preserve">provides for 30 days </w:t>
      </w:r>
      <w:r w:rsidR="00F34F9C">
        <w:t xml:space="preserve">(not to exceed 240 hours) </w:t>
      </w:r>
      <w:r w:rsidRPr="00852005">
        <w:t xml:space="preserve">per calendar year of paid leave for State </w:t>
      </w:r>
      <w:r w:rsidR="00A573EB" w:rsidRPr="00852005">
        <w:t xml:space="preserve">National Guard </w:t>
      </w:r>
      <w:r w:rsidR="00A47985" w:rsidRPr="00852005">
        <w:t>active duty</w:t>
      </w:r>
      <w:r w:rsidRPr="00852005">
        <w:t xml:space="preserve"> and </w:t>
      </w:r>
      <w:r w:rsidR="00A573EB" w:rsidRPr="00852005">
        <w:t xml:space="preserve">Federal </w:t>
      </w:r>
      <w:r w:rsidRPr="00852005">
        <w:t xml:space="preserve">Reserve </w:t>
      </w:r>
      <w:r w:rsidR="00A47985" w:rsidRPr="00852005">
        <w:t>military service</w:t>
      </w:r>
      <w:r w:rsidRPr="00852005">
        <w:t xml:space="preserve">.  </w:t>
      </w:r>
      <w:r w:rsidR="007E6B3C" w:rsidRPr="00852005">
        <w:t>These are referred to as Subpart (a) days, from their statutory designation (15-1F-1(a)</w:t>
      </w:r>
      <w:r w:rsidR="00BA04E0" w:rsidRPr="00852005">
        <w:t>)</w:t>
      </w:r>
      <w:r w:rsidR="007E6B3C" w:rsidRPr="00852005">
        <w:t xml:space="preserve">.  </w:t>
      </w:r>
      <w:r w:rsidR="00852005" w:rsidRPr="00852005">
        <w:t>T</w:t>
      </w:r>
      <w:r w:rsidR="007E6B3C" w:rsidRPr="00852005">
        <w:t>he qualifying employee/soldier will be credited with these days on January 1 of each calendar year</w:t>
      </w:r>
      <w:r w:rsidR="00852005" w:rsidRPr="00852005">
        <w:t>, except as provided below</w:t>
      </w:r>
      <w:r w:rsidR="007E6B3C" w:rsidRPr="00852005">
        <w:t xml:space="preserve">, and </w:t>
      </w:r>
      <w:r w:rsidR="00A573EB" w:rsidRPr="00852005">
        <w:t xml:space="preserve">any </w:t>
      </w:r>
      <w:r w:rsidR="007E6B3C" w:rsidRPr="00852005">
        <w:t>unused time expires at the end of the calendar year.</w:t>
      </w:r>
      <w:r w:rsidR="000803B8" w:rsidRPr="00852005">
        <w:t xml:space="preserve">  These days are most often used for weekend drills, training classes and </w:t>
      </w:r>
      <w:r w:rsidR="00A46443" w:rsidRPr="00852005">
        <w:t xml:space="preserve">occasionally for special </w:t>
      </w:r>
      <w:r w:rsidR="000803B8" w:rsidRPr="00852005">
        <w:t>extended periods for, by example, flood mitigation or fighting forest fires</w:t>
      </w:r>
      <w:r w:rsidR="000D3F1C" w:rsidRPr="00852005">
        <w:t>.</w:t>
      </w:r>
    </w:p>
    <w:p w:rsidR="00B069E1" w:rsidRPr="00852005" w:rsidRDefault="00B069E1" w:rsidP="00FD01A5">
      <w:pPr>
        <w:autoSpaceDE w:val="0"/>
        <w:autoSpaceDN w:val="0"/>
        <w:adjustRightInd w:val="0"/>
        <w:jc w:val="both"/>
      </w:pPr>
    </w:p>
    <w:p w:rsidR="00FD01A5" w:rsidRPr="00852005" w:rsidRDefault="00A573EB" w:rsidP="00FD01A5">
      <w:pPr>
        <w:autoSpaceDE w:val="0"/>
        <w:autoSpaceDN w:val="0"/>
        <w:adjustRightInd w:val="0"/>
        <w:jc w:val="both"/>
      </w:pPr>
      <w:r w:rsidRPr="00852005">
        <w:t>T</w:t>
      </w:r>
      <w:r w:rsidR="00BA04E0" w:rsidRPr="00852005">
        <w:t xml:space="preserve">he Rule </w:t>
      </w:r>
      <w:r w:rsidRPr="00852005">
        <w:t xml:space="preserve">also </w:t>
      </w:r>
      <w:r w:rsidR="00183976" w:rsidRPr="00852005">
        <w:t xml:space="preserve">provides for </w:t>
      </w:r>
      <w:r w:rsidR="000803B8" w:rsidRPr="00852005">
        <w:t xml:space="preserve">an additional </w:t>
      </w:r>
      <w:r w:rsidR="00183976" w:rsidRPr="00852005">
        <w:t>30 days</w:t>
      </w:r>
      <w:r w:rsidR="00F34F9C">
        <w:t xml:space="preserve"> (not to exceed 240 hours)</w:t>
      </w:r>
      <w:r w:rsidR="00183976" w:rsidRPr="00852005">
        <w:t xml:space="preserve"> paid leave for </w:t>
      </w:r>
      <w:r w:rsidR="00BA04E0" w:rsidRPr="00852005">
        <w:t xml:space="preserve">federal active duty </w:t>
      </w:r>
      <w:r w:rsidR="00183976" w:rsidRPr="00852005">
        <w:t xml:space="preserve">for each single call to active duty.   </w:t>
      </w:r>
      <w:r w:rsidR="00BA04E0" w:rsidRPr="00852005">
        <w:t>These are referred to as Subpart (b) days, from their statutory designation (15-1F-1(b))</w:t>
      </w:r>
      <w:r w:rsidR="00852005" w:rsidRPr="00852005">
        <w:t xml:space="preserve">. </w:t>
      </w:r>
      <w:r w:rsidR="00BA04E0" w:rsidRPr="00852005">
        <w:t xml:space="preserve"> </w:t>
      </w:r>
      <w:r w:rsidRPr="00852005">
        <w:t>T</w:t>
      </w:r>
      <w:r w:rsidR="00BA04E0" w:rsidRPr="00852005">
        <w:t>his time may continue into the next calendar year.</w:t>
      </w:r>
    </w:p>
    <w:p w:rsidR="00852005" w:rsidRPr="00852005" w:rsidRDefault="00852005" w:rsidP="00FD01A5">
      <w:pPr>
        <w:autoSpaceDE w:val="0"/>
        <w:autoSpaceDN w:val="0"/>
        <w:adjustRightInd w:val="0"/>
        <w:jc w:val="both"/>
      </w:pPr>
    </w:p>
    <w:p w:rsidR="004C391C" w:rsidRPr="00852005" w:rsidRDefault="006647AA" w:rsidP="00FD01A5">
      <w:pPr>
        <w:autoSpaceDE w:val="0"/>
        <w:autoSpaceDN w:val="0"/>
        <w:adjustRightInd w:val="0"/>
        <w:jc w:val="both"/>
      </w:pPr>
      <w:r w:rsidRPr="00852005">
        <w:t xml:space="preserve">Effective January 1 of each calendar year, the employee/soldier is credited with 30 Subpart (a) </w:t>
      </w:r>
      <w:r w:rsidRPr="006E5089">
        <w:t xml:space="preserve">days, unless he or she is in </w:t>
      </w:r>
      <w:r w:rsidR="00894B65" w:rsidRPr="006E5089">
        <w:t>unpaid</w:t>
      </w:r>
      <w:r w:rsidRPr="006E5089">
        <w:t xml:space="preserve"> status </w:t>
      </w:r>
      <w:r w:rsidR="00894B65" w:rsidRPr="006E5089">
        <w:t xml:space="preserve">with the employer (i.e., leave of absence without pay </w:t>
      </w:r>
      <w:r w:rsidRPr="006E5089">
        <w:t>or</w:t>
      </w:r>
      <w:r w:rsidR="00894B65" w:rsidRPr="006E5089">
        <w:t xml:space="preserve"> suspension)</w:t>
      </w:r>
      <w:r w:rsidRPr="006E5089">
        <w:t xml:space="preserve"> </w:t>
      </w:r>
      <w:r w:rsidR="00894B65" w:rsidRPr="006E5089">
        <w:t xml:space="preserve">or </w:t>
      </w:r>
      <w:r w:rsidR="00A573EB" w:rsidRPr="006E5089">
        <w:t xml:space="preserve">on </w:t>
      </w:r>
      <w:r w:rsidRPr="006E5089">
        <w:t xml:space="preserve">active duty status (paid or unpaid) under Subpart (b).  </w:t>
      </w:r>
      <w:r w:rsidR="004C391C" w:rsidRPr="006E5089">
        <w:t xml:space="preserve">Therefore, </w:t>
      </w:r>
      <w:r w:rsidR="007072E5" w:rsidRPr="006E5089">
        <w:t>employee/</w:t>
      </w:r>
      <w:r w:rsidR="00894B65" w:rsidRPr="006E5089">
        <w:t xml:space="preserve">soldiers in paid status with the employer (i.e., paid annual leave, paid sick leave, paid Subpart (a) State military duty, or working) </w:t>
      </w:r>
      <w:r w:rsidR="004C391C" w:rsidRPr="006E5089">
        <w:t xml:space="preserve">shall be credited with the </w:t>
      </w:r>
      <w:r w:rsidR="00993AC0" w:rsidRPr="006E5089">
        <w:t xml:space="preserve">next year’s </w:t>
      </w:r>
      <w:r w:rsidR="007072E5" w:rsidRPr="006E5089">
        <w:t>S</w:t>
      </w:r>
      <w:r w:rsidR="004C391C" w:rsidRPr="006E5089">
        <w:t>ubpart (a) military leave allotment.</w:t>
      </w:r>
      <w:r w:rsidR="004C391C" w:rsidRPr="00852005">
        <w:t xml:space="preserve">  </w:t>
      </w:r>
    </w:p>
    <w:p w:rsidR="004C391C" w:rsidRPr="00852005" w:rsidRDefault="004C391C" w:rsidP="00FD01A5">
      <w:pPr>
        <w:autoSpaceDE w:val="0"/>
        <w:autoSpaceDN w:val="0"/>
        <w:adjustRightInd w:val="0"/>
        <w:jc w:val="both"/>
      </w:pPr>
    </w:p>
    <w:p w:rsidR="00C8114A" w:rsidRPr="00852005" w:rsidRDefault="00F93A83" w:rsidP="00FD01A5">
      <w:pPr>
        <w:autoSpaceDE w:val="0"/>
        <w:autoSpaceDN w:val="0"/>
        <w:adjustRightInd w:val="0"/>
        <w:jc w:val="both"/>
      </w:pPr>
      <w:r w:rsidRPr="00852005">
        <w:t>E</w:t>
      </w:r>
      <w:r w:rsidR="00C8114A" w:rsidRPr="00852005">
        <w:t xml:space="preserve">mployees on federal military duty, Subpart (b), typically an extended period of military duty, though accruing sick and annual leave while in paid status, are not afforded additional Subpart (a) days until released by the military and they return to the State workforce and payroll.  An employee/soldier who is called to active duty under Subpart (b) who has not used all of the 30 Subpart (a) days for the calendar year, shall be entitled to exhaust the remaining Subpart (a) days, provided that the Subpart (a) days may not be carried forward into the next calendar year.  </w:t>
      </w:r>
    </w:p>
    <w:p w:rsidR="00C8114A" w:rsidRPr="00852005" w:rsidRDefault="00C8114A" w:rsidP="00FD01A5">
      <w:pPr>
        <w:autoSpaceDE w:val="0"/>
        <w:autoSpaceDN w:val="0"/>
        <w:adjustRightInd w:val="0"/>
        <w:jc w:val="both"/>
      </w:pPr>
    </w:p>
    <w:p w:rsidR="00CD5739" w:rsidRDefault="00FF4020" w:rsidP="00447AC7">
      <w:pPr>
        <w:autoSpaceDE w:val="0"/>
        <w:autoSpaceDN w:val="0"/>
        <w:adjustRightInd w:val="0"/>
        <w:jc w:val="both"/>
      </w:pPr>
      <w:r w:rsidRPr="00852005">
        <w:t>C</w:t>
      </w:r>
      <w:r w:rsidR="00002767" w:rsidRPr="00852005">
        <w:t>ontinuing orders, revised orders</w:t>
      </w:r>
      <w:r w:rsidRPr="00852005">
        <w:t>,</w:t>
      </w:r>
      <w:r w:rsidR="00002767" w:rsidRPr="00852005">
        <w:t xml:space="preserve"> extensions of </w:t>
      </w:r>
      <w:r w:rsidRPr="00852005">
        <w:t xml:space="preserve">the </w:t>
      </w:r>
      <w:r w:rsidR="00002767" w:rsidRPr="00852005">
        <w:t>service period</w:t>
      </w:r>
      <w:r w:rsidR="00DB296F" w:rsidRPr="00852005">
        <w:t>,</w:t>
      </w:r>
      <w:r w:rsidR="00002767" w:rsidRPr="00852005">
        <w:t xml:space="preserve"> </w:t>
      </w:r>
      <w:r w:rsidRPr="00852005">
        <w:t xml:space="preserve">and consecutive </w:t>
      </w:r>
      <w:r w:rsidR="00002767" w:rsidRPr="00852005">
        <w:t xml:space="preserve">orders </w:t>
      </w:r>
      <w:r w:rsidR="00002767" w:rsidRPr="00852005">
        <w:rPr>
          <w:b/>
        </w:rPr>
        <w:t>DO NOT</w:t>
      </w:r>
      <w:r w:rsidR="00002767" w:rsidRPr="00852005">
        <w:t xml:space="preserve"> constitute new orders and </w:t>
      </w:r>
      <w:r w:rsidRPr="00852005">
        <w:t xml:space="preserve">there is no </w:t>
      </w:r>
      <w:r w:rsidR="00002767" w:rsidRPr="00852005">
        <w:t xml:space="preserve">additional </w:t>
      </w:r>
      <w:r w:rsidRPr="00852005">
        <w:t>S</w:t>
      </w:r>
      <w:r w:rsidR="00002767" w:rsidRPr="00852005">
        <w:t xml:space="preserve">ubpart (b) </w:t>
      </w:r>
      <w:r w:rsidR="00835A50">
        <w:t>m</w:t>
      </w:r>
      <w:r w:rsidR="00002767" w:rsidRPr="00852005">
        <w:t xml:space="preserve">ilitary </w:t>
      </w:r>
      <w:r w:rsidR="00835A50">
        <w:t>l</w:t>
      </w:r>
      <w:r w:rsidR="00002767" w:rsidRPr="00852005">
        <w:t>eave eligibility.  There must be a break</w:t>
      </w:r>
      <w:r w:rsidR="00F93A83" w:rsidRPr="00852005">
        <w:t xml:space="preserve"> (discharge)</w:t>
      </w:r>
      <w:r w:rsidR="00002767" w:rsidRPr="00852005">
        <w:t xml:space="preserve"> between orders and normally</w:t>
      </w:r>
      <w:r w:rsidR="00F93A83" w:rsidRPr="00852005">
        <w:rPr>
          <w:color w:val="FF0000"/>
        </w:rPr>
        <w:t xml:space="preserve"> </w:t>
      </w:r>
      <w:r w:rsidR="00002767" w:rsidRPr="00852005">
        <w:t xml:space="preserve">a return to work before additional </w:t>
      </w:r>
      <w:r w:rsidRPr="00852005">
        <w:t>S</w:t>
      </w:r>
      <w:r w:rsidR="00002767" w:rsidRPr="00852005">
        <w:t xml:space="preserve">ubpart (b) leave eligibility is credited for a </w:t>
      </w:r>
      <w:r w:rsidR="00002767" w:rsidRPr="00852005">
        <w:rPr>
          <w:b/>
        </w:rPr>
        <w:t>subsequent</w:t>
      </w:r>
      <w:r w:rsidR="00002767" w:rsidRPr="00852005">
        <w:t xml:space="preserve"> call to military duty. </w:t>
      </w:r>
      <w:r w:rsidR="00830F20" w:rsidRPr="00852005">
        <w:t xml:space="preserve"> </w:t>
      </w:r>
      <w:r w:rsidR="00835A50" w:rsidRPr="006E5089">
        <w:t xml:space="preserve">Situations in which an employee/soldier may not return to work </w:t>
      </w:r>
      <w:r w:rsidR="007238D4" w:rsidRPr="006E5089">
        <w:t xml:space="preserve">prior to subsequent activation </w:t>
      </w:r>
      <w:r w:rsidR="000C3722" w:rsidRPr="006E5089">
        <w:t xml:space="preserve">but is still entitled to additional Subpart (b) military leave upon subsequent activation </w:t>
      </w:r>
      <w:r w:rsidR="007238D4" w:rsidRPr="006E5089">
        <w:t xml:space="preserve">include </w:t>
      </w:r>
      <w:r w:rsidR="00835A50" w:rsidRPr="006E5089">
        <w:t xml:space="preserve">paid or unpaid </w:t>
      </w:r>
      <w:r w:rsidR="007238D4" w:rsidRPr="006E5089">
        <w:t xml:space="preserve">medical leave of absence or </w:t>
      </w:r>
      <w:r w:rsidR="00835A50" w:rsidRPr="006E5089">
        <w:t>time off for readjustment prior to returning to work as provided in the Uniformed Service</w:t>
      </w:r>
      <w:r w:rsidR="00805420" w:rsidRPr="006E5089">
        <w:t>s</w:t>
      </w:r>
      <w:r w:rsidR="00835A50" w:rsidRPr="006E5089">
        <w:t xml:space="preserve"> Employment and Reemployment Rights Act and/or federal Family and Medical Leave Act.  </w:t>
      </w:r>
      <w:r w:rsidR="0088750C">
        <w:t>E</w:t>
      </w:r>
      <w:r w:rsidR="00830F20" w:rsidRPr="006E5089">
        <w:t xml:space="preserve">mployees </w:t>
      </w:r>
      <w:r w:rsidR="0088750C">
        <w:t>may</w:t>
      </w:r>
      <w:r w:rsidR="00830F20" w:rsidRPr="006E5089">
        <w:t xml:space="preserve"> be permitted to work while</w:t>
      </w:r>
      <w:r w:rsidR="00830F20" w:rsidRPr="00852005">
        <w:t xml:space="preserve"> under military orders, upon request, </w:t>
      </w:r>
      <w:r w:rsidR="0088750C">
        <w:t xml:space="preserve">based upon the </w:t>
      </w:r>
      <w:r w:rsidR="00A95FA6">
        <w:t xml:space="preserve">specific </w:t>
      </w:r>
      <w:r w:rsidR="0088750C">
        <w:t xml:space="preserve">needs of the </w:t>
      </w:r>
      <w:r w:rsidR="00A95FA6" w:rsidRPr="00A95FA6">
        <w:t xml:space="preserve">agency and the </w:t>
      </w:r>
      <w:r w:rsidR="00A95FA6">
        <w:t>responsibilities</w:t>
      </w:r>
      <w:r w:rsidR="00A95FA6" w:rsidRPr="00A95FA6">
        <w:t xml:space="preserve"> of the</w:t>
      </w:r>
      <w:r w:rsidR="008675C7">
        <w:t xml:space="preserve"> </w:t>
      </w:r>
      <w:r w:rsidR="00A95FA6" w:rsidRPr="00A95FA6">
        <w:t>position</w:t>
      </w:r>
      <w:r w:rsidR="004B3CA9">
        <w:t>.</w:t>
      </w:r>
    </w:p>
    <w:p w:rsidR="00887599" w:rsidRDefault="00887599" w:rsidP="00447AC7">
      <w:pPr>
        <w:autoSpaceDE w:val="0"/>
        <w:autoSpaceDN w:val="0"/>
        <w:adjustRightInd w:val="0"/>
        <w:jc w:val="both"/>
      </w:pPr>
    </w:p>
    <w:p w:rsidR="000B3636" w:rsidRPr="00A37970" w:rsidRDefault="00887599" w:rsidP="00447AC7">
      <w:pPr>
        <w:autoSpaceDE w:val="0"/>
        <w:autoSpaceDN w:val="0"/>
        <w:adjustRightInd w:val="0"/>
        <w:jc w:val="both"/>
      </w:pPr>
      <w:r w:rsidRPr="00A37970">
        <w:t xml:space="preserve">The specific amount permitted for each call to duty is dependent upon the authority under which the employee is called or ordered to duty, the timing of the call in the calendar year, the amount of military leave standing to his or her credit at the time of the call to duty, the manner in which the employee prefers use his or her Subpart (a) and (b) military leave, and any use of accumulated annual leave, if requested.  A service member cannot be </w:t>
      </w:r>
      <w:r w:rsidR="00A66342" w:rsidRPr="00A37970">
        <w:t>requir</w:t>
      </w:r>
      <w:r w:rsidRPr="00A37970">
        <w:t>ed to use accumulated leave benefits against his or her will.  Sick leave may not be used for absences for military duty.</w:t>
      </w:r>
    </w:p>
    <w:p w:rsidR="00887599" w:rsidRPr="00A37970" w:rsidRDefault="00887599" w:rsidP="00447AC7">
      <w:pPr>
        <w:autoSpaceDE w:val="0"/>
        <w:autoSpaceDN w:val="0"/>
        <w:adjustRightInd w:val="0"/>
        <w:jc w:val="both"/>
      </w:pPr>
      <w:r w:rsidRPr="00A37970">
        <w:lastRenderedPageBreak/>
        <w:t xml:space="preserve">Specific guidance for determining eligibility for Subpart (a) and/or Subpart (b) Military Leave is provided in the </w:t>
      </w:r>
      <w:r w:rsidRPr="00A37970">
        <w:rPr>
          <w:i/>
        </w:rPr>
        <w:t>Supervisor’s Guide for Determining Paid Military Leave Category</w:t>
      </w:r>
      <w:r w:rsidRPr="00A37970">
        <w:t xml:space="preserve"> which is located on the Division of Personnel, </w:t>
      </w:r>
      <w:hyperlink r:id="rId7" w:history="1">
        <w:r w:rsidRPr="00A37970">
          <w:rPr>
            <w:rStyle w:val="Hyperlink"/>
          </w:rPr>
          <w:t>Supervisor’s Toolboxes</w:t>
        </w:r>
      </w:hyperlink>
      <w:r w:rsidRPr="00A37970">
        <w:t xml:space="preserve"> web page.</w:t>
      </w:r>
    </w:p>
    <w:p w:rsidR="003A0365" w:rsidRPr="00A37970" w:rsidRDefault="003A0365" w:rsidP="00447AC7">
      <w:pPr>
        <w:autoSpaceDE w:val="0"/>
        <w:autoSpaceDN w:val="0"/>
        <w:adjustRightInd w:val="0"/>
        <w:jc w:val="both"/>
      </w:pPr>
    </w:p>
    <w:p w:rsidR="00961075" w:rsidRPr="00A37970" w:rsidRDefault="00961075" w:rsidP="00447AC7">
      <w:pPr>
        <w:autoSpaceDE w:val="0"/>
        <w:autoSpaceDN w:val="0"/>
        <w:adjustRightInd w:val="0"/>
        <w:jc w:val="both"/>
      </w:pPr>
    </w:p>
    <w:p w:rsidR="00EA6FBF" w:rsidRPr="00A37970" w:rsidRDefault="003A0365" w:rsidP="00447AC7">
      <w:pPr>
        <w:autoSpaceDE w:val="0"/>
        <w:autoSpaceDN w:val="0"/>
        <w:adjustRightInd w:val="0"/>
        <w:jc w:val="both"/>
      </w:pPr>
      <w:r w:rsidRPr="00A37970">
        <w:rPr>
          <w:u w:val="single"/>
        </w:rPr>
        <w:t>Annual Increment</w:t>
      </w:r>
      <w:r w:rsidRPr="00A37970">
        <w:t xml:space="preserve"> </w:t>
      </w:r>
    </w:p>
    <w:p w:rsidR="00EA6FBF" w:rsidRPr="00A37970" w:rsidRDefault="00EA6FBF" w:rsidP="00447AC7">
      <w:pPr>
        <w:autoSpaceDE w:val="0"/>
        <w:autoSpaceDN w:val="0"/>
        <w:adjustRightInd w:val="0"/>
        <w:jc w:val="both"/>
      </w:pPr>
    </w:p>
    <w:p w:rsidR="003A0365" w:rsidRPr="00A37970" w:rsidRDefault="003A0365" w:rsidP="00447AC7">
      <w:pPr>
        <w:autoSpaceDE w:val="0"/>
        <w:autoSpaceDN w:val="0"/>
        <w:adjustRightInd w:val="0"/>
        <w:jc w:val="both"/>
      </w:pPr>
      <w:r w:rsidRPr="00A37970">
        <w:t xml:space="preserve">Time spent on a federal military leave (paid and unpaid) is included when calculating service for the annual incremental payment.  For employees who choose to delay their return to work, based on the duration of the period of federal military service as provided for in USERRA, such additional time is also included as time worked when calculating service for this annual payment.  Eligible employees should receive the Annual Incremental Payment on the normally scheduled payment date regardless of payroll status.  Additional information regarding the annual incremental payment is found in the Division of Personnel’s </w:t>
      </w:r>
      <w:r w:rsidRPr="00A37970">
        <w:rPr>
          <w:i/>
        </w:rPr>
        <w:t>Annual Increment</w:t>
      </w:r>
      <w:r w:rsidRPr="00A37970">
        <w:t xml:space="preserve"> </w:t>
      </w:r>
      <w:r w:rsidR="00881CB5" w:rsidRPr="00A37970">
        <w:t>p</w:t>
      </w:r>
      <w:r w:rsidRPr="00A37970">
        <w:t xml:space="preserve">olicy </w:t>
      </w:r>
      <w:r w:rsidR="00881CB5" w:rsidRPr="00A37970">
        <w:t>(</w:t>
      </w:r>
      <w:r w:rsidRPr="00A37970">
        <w:t>DOP-P5</w:t>
      </w:r>
      <w:r w:rsidR="00881CB5" w:rsidRPr="00A37970">
        <w:t xml:space="preserve">), which is located on the Division of Personnel, </w:t>
      </w:r>
      <w:hyperlink r:id="rId8" w:history="1">
        <w:r w:rsidR="00881CB5" w:rsidRPr="00A37970">
          <w:rPr>
            <w:rStyle w:val="Hyperlink"/>
          </w:rPr>
          <w:t>Policies and Interpretive Bulletins</w:t>
        </w:r>
      </w:hyperlink>
      <w:r w:rsidR="00881CB5" w:rsidRPr="00A37970">
        <w:t xml:space="preserve"> web page</w:t>
      </w:r>
      <w:r w:rsidRPr="00A37970">
        <w:t>.</w:t>
      </w:r>
    </w:p>
    <w:p w:rsidR="003A0365" w:rsidRPr="00A37970" w:rsidRDefault="003A0365" w:rsidP="00447AC7">
      <w:pPr>
        <w:autoSpaceDE w:val="0"/>
        <w:autoSpaceDN w:val="0"/>
        <w:adjustRightInd w:val="0"/>
        <w:jc w:val="both"/>
      </w:pPr>
    </w:p>
    <w:p w:rsidR="00961075" w:rsidRPr="00A37970" w:rsidRDefault="00961075" w:rsidP="00447AC7">
      <w:pPr>
        <w:autoSpaceDE w:val="0"/>
        <w:autoSpaceDN w:val="0"/>
        <w:adjustRightInd w:val="0"/>
        <w:jc w:val="both"/>
      </w:pPr>
    </w:p>
    <w:p w:rsidR="003A0365" w:rsidRPr="00A37970" w:rsidRDefault="00EA6FBF" w:rsidP="00447AC7">
      <w:pPr>
        <w:autoSpaceDE w:val="0"/>
        <w:autoSpaceDN w:val="0"/>
        <w:adjustRightInd w:val="0"/>
        <w:jc w:val="both"/>
        <w:rPr>
          <w:u w:val="single"/>
        </w:rPr>
      </w:pPr>
      <w:r w:rsidRPr="00A37970">
        <w:rPr>
          <w:u w:val="single"/>
        </w:rPr>
        <w:t>Leave Accrual</w:t>
      </w:r>
    </w:p>
    <w:p w:rsidR="00EA6FBF" w:rsidRPr="00A37970" w:rsidRDefault="00EA6FBF" w:rsidP="00447AC7">
      <w:pPr>
        <w:autoSpaceDE w:val="0"/>
        <w:autoSpaceDN w:val="0"/>
        <w:adjustRightInd w:val="0"/>
        <w:jc w:val="both"/>
      </w:pPr>
    </w:p>
    <w:p w:rsidR="00EA6FBF" w:rsidRDefault="008271C0" w:rsidP="00447AC7">
      <w:pPr>
        <w:autoSpaceDE w:val="0"/>
        <w:autoSpaceDN w:val="0"/>
        <w:adjustRightInd w:val="0"/>
        <w:jc w:val="both"/>
      </w:pPr>
      <w:r w:rsidRPr="00A37970">
        <w:t xml:space="preserve">All employees on paid leave, including Subpart (a) and Subpart (b) military </w:t>
      </w:r>
      <w:proofErr w:type="gramStart"/>
      <w:r w:rsidRPr="00A37970">
        <w:t>leave,</w:t>
      </w:r>
      <w:proofErr w:type="gramEnd"/>
      <w:r w:rsidR="00A66342" w:rsidRPr="00A37970">
        <w:t xml:space="preserve"> </w:t>
      </w:r>
      <w:r w:rsidRPr="00A37970">
        <w:t>continue to accrue annual and sick leave.  Employees on a Military Leave of Absence without pay do not accrue annual or sick leave during the time they are off the payroll.  Leave benefits are a form of compensation and thus do not accrue when the employee is not being paid.  However, the annual leave accrual rate is based on seniority.  Therefore, time spent on military leave (paid and unpaid) is included in calculating service for establishing the annual leave accrual rate.  For employees who choose to delay their return to work, based on the duration of the period of military service as provided for in USERRA, such time is also included as qualifying service in the annual leave accrual rate service calculations.</w:t>
      </w:r>
    </w:p>
    <w:p w:rsidR="00887599" w:rsidRDefault="00887599" w:rsidP="00447AC7">
      <w:pPr>
        <w:autoSpaceDE w:val="0"/>
        <w:autoSpaceDN w:val="0"/>
        <w:adjustRightInd w:val="0"/>
        <w:jc w:val="both"/>
      </w:pPr>
    </w:p>
    <w:p w:rsidR="00887599" w:rsidRPr="00887599" w:rsidRDefault="00887599" w:rsidP="00447AC7">
      <w:pPr>
        <w:autoSpaceDE w:val="0"/>
        <w:autoSpaceDN w:val="0"/>
        <w:adjustRightInd w:val="0"/>
        <w:jc w:val="both"/>
        <w:sectPr w:rsidR="00887599" w:rsidRPr="00887599" w:rsidSect="00FB738F">
          <w:pgSz w:w="12240" w:h="15840"/>
          <w:pgMar w:top="1008" w:right="1440" w:bottom="1008" w:left="1440" w:header="720" w:footer="720" w:gutter="0"/>
          <w:cols w:space="720"/>
          <w:noEndnote/>
        </w:sectPr>
      </w:pPr>
    </w:p>
    <w:p w:rsidR="003A3CDE" w:rsidRPr="00447AC7" w:rsidRDefault="002D7956" w:rsidP="00C967FE">
      <w:pPr>
        <w:autoSpaceDE w:val="0"/>
        <w:autoSpaceDN w:val="0"/>
        <w:adjustRightInd w:val="0"/>
        <w:jc w:val="center"/>
        <w:rPr>
          <w:b/>
          <w:sz w:val="28"/>
          <w:szCs w:val="28"/>
        </w:rPr>
      </w:pPr>
      <w:r w:rsidRPr="00447AC7">
        <w:rPr>
          <w:b/>
          <w:sz w:val="28"/>
          <w:szCs w:val="28"/>
        </w:rPr>
        <w:lastRenderedPageBreak/>
        <w:t xml:space="preserve">ELIGIBILITY FOR </w:t>
      </w:r>
      <w:r w:rsidR="003A3CDE" w:rsidRPr="00447AC7">
        <w:rPr>
          <w:b/>
          <w:sz w:val="28"/>
          <w:szCs w:val="28"/>
        </w:rPr>
        <w:t>SUBSEQUENT YEAR</w:t>
      </w:r>
    </w:p>
    <w:p w:rsidR="00E331EC" w:rsidRDefault="002D7956" w:rsidP="00C967FE">
      <w:pPr>
        <w:autoSpaceDE w:val="0"/>
        <w:autoSpaceDN w:val="0"/>
        <w:adjustRightInd w:val="0"/>
        <w:jc w:val="center"/>
        <w:rPr>
          <w:sz w:val="28"/>
          <w:szCs w:val="28"/>
        </w:rPr>
      </w:pPr>
      <w:r w:rsidRPr="00447AC7">
        <w:rPr>
          <w:b/>
          <w:sz w:val="28"/>
          <w:szCs w:val="28"/>
        </w:rPr>
        <w:t>MILITARY LEAVE ALLOTMENTS</w:t>
      </w:r>
    </w:p>
    <w:p w:rsidR="002D7956" w:rsidRDefault="002D7956" w:rsidP="00D35243">
      <w:pPr>
        <w:autoSpaceDE w:val="0"/>
        <w:autoSpaceDN w:val="0"/>
        <w:adjustRightInd w:val="0"/>
      </w:pPr>
    </w:p>
    <w:p w:rsidR="002D7956" w:rsidRDefault="002D7956" w:rsidP="00D35243">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620"/>
        <w:gridCol w:w="1980"/>
        <w:gridCol w:w="2520"/>
        <w:gridCol w:w="2640"/>
        <w:gridCol w:w="2760"/>
      </w:tblGrid>
      <w:tr w:rsidR="00BC5D7E" w:rsidRPr="006E5089" w:rsidTr="004B3CA9">
        <w:tc>
          <w:tcPr>
            <w:tcW w:w="1548" w:type="dxa"/>
            <w:tcBorders>
              <w:bottom w:val="single" w:sz="4" w:space="0" w:color="auto"/>
            </w:tcBorders>
            <w:shd w:val="clear" w:color="auto" w:fill="333333"/>
          </w:tcPr>
          <w:p w:rsidR="00FF50D9" w:rsidRPr="00E67EA2" w:rsidRDefault="00FF50D9" w:rsidP="00E67EA2">
            <w:pPr>
              <w:autoSpaceDE w:val="0"/>
              <w:autoSpaceDN w:val="0"/>
              <w:adjustRightInd w:val="0"/>
              <w:jc w:val="center"/>
              <w:rPr>
                <w:b/>
              </w:rPr>
            </w:pPr>
          </w:p>
        </w:tc>
        <w:tc>
          <w:tcPr>
            <w:tcW w:w="1620" w:type="dxa"/>
            <w:tcBorders>
              <w:bottom w:val="single" w:sz="4" w:space="0" w:color="auto"/>
            </w:tcBorders>
            <w:shd w:val="clear" w:color="auto" w:fill="E0E0E0"/>
          </w:tcPr>
          <w:p w:rsidR="00FF50D9" w:rsidRPr="006E5089" w:rsidRDefault="00FF50D9" w:rsidP="004B3CA9">
            <w:pPr>
              <w:autoSpaceDE w:val="0"/>
              <w:autoSpaceDN w:val="0"/>
              <w:adjustRightInd w:val="0"/>
              <w:jc w:val="center"/>
              <w:rPr>
                <w:b/>
                <w:sz w:val="20"/>
                <w:szCs w:val="20"/>
              </w:rPr>
            </w:pPr>
            <w:r w:rsidRPr="006E5089">
              <w:rPr>
                <w:b/>
                <w:sz w:val="20"/>
                <w:szCs w:val="20"/>
              </w:rPr>
              <w:t>PAY</w:t>
            </w:r>
            <w:r w:rsidR="004B3CA9" w:rsidRPr="006E5089">
              <w:rPr>
                <w:b/>
                <w:sz w:val="20"/>
                <w:szCs w:val="20"/>
              </w:rPr>
              <w:t xml:space="preserve"> </w:t>
            </w:r>
            <w:r w:rsidRPr="006E5089">
              <w:rPr>
                <w:b/>
                <w:sz w:val="20"/>
                <w:szCs w:val="20"/>
              </w:rPr>
              <w:t>STATUS</w:t>
            </w:r>
          </w:p>
          <w:p w:rsidR="004B3CA9" w:rsidRPr="006E5089" w:rsidRDefault="004B3CA9" w:rsidP="004B3CA9">
            <w:pPr>
              <w:autoSpaceDE w:val="0"/>
              <w:autoSpaceDN w:val="0"/>
              <w:adjustRightInd w:val="0"/>
              <w:jc w:val="center"/>
              <w:rPr>
                <w:b/>
                <w:sz w:val="20"/>
                <w:szCs w:val="20"/>
              </w:rPr>
            </w:pPr>
            <w:r w:rsidRPr="006E5089">
              <w:rPr>
                <w:b/>
                <w:sz w:val="20"/>
                <w:szCs w:val="20"/>
              </w:rPr>
              <w:t>WITH</w:t>
            </w:r>
          </w:p>
          <w:p w:rsidR="004B3CA9" w:rsidRPr="006E5089" w:rsidRDefault="004B3CA9" w:rsidP="004B3CA9">
            <w:pPr>
              <w:autoSpaceDE w:val="0"/>
              <w:autoSpaceDN w:val="0"/>
              <w:adjustRightInd w:val="0"/>
              <w:jc w:val="center"/>
              <w:rPr>
                <w:b/>
                <w:sz w:val="20"/>
                <w:szCs w:val="20"/>
              </w:rPr>
            </w:pPr>
            <w:r w:rsidRPr="006E5089">
              <w:rPr>
                <w:b/>
                <w:sz w:val="20"/>
                <w:szCs w:val="20"/>
              </w:rPr>
              <w:t>EMPLOYER</w:t>
            </w:r>
          </w:p>
        </w:tc>
        <w:tc>
          <w:tcPr>
            <w:tcW w:w="1980" w:type="dxa"/>
            <w:tcBorders>
              <w:bottom w:val="single" w:sz="4" w:space="0" w:color="auto"/>
            </w:tcBorders>
            <w:shd w:val="clear" w:color="auto" w:fill="E0E0E0"/>
          </w:tcPr>
          <w:p w:rsidR="00FF50D9" w:rsidRPr="006E5089" w:rsidRDefault="004B3CA9" w:rsidP="00E67EA2">
            <w:pPr>
              <w:autoSpaceDE w:val="0"/>
              <w:autoSpaceDN w:val="0"/>
              <w:adjustRightInd w:val="0"/>
              <w:jc w:val="center"/>
              <w:rPr>
                <w:b/>
              </w:rPr>
            </w:pPr>
            <w:r w:rsidRPr="006E5089">
              <w:rPr>
                <w:b/>
              </w:rPr>
              <w:t>PAID</w:t>
            </w:r>
          </w:p>
          <w:p w:rsidR="00FF50D9" w:rsidRPr="006E5089" w:rsidRDefault="00FF50D9" w:rsidP="00E67EA2">
            <w:pPr>
              <w:autoSpaceDE w:val="0"/>
              <w:autoSpaceDN w:val="0"/>
              <w:adjustRightInd w:val="0"/>
              <w:jc w:val="center"/>
              <w:rPr>
                <w:sz w:val="22"/>
                <w:szCs w:val="22"/>
              </w:rPr>
            </w:pPr>
            <w:r w:rsidRPr="006E5089">
              <w:rPr>
                <w:sz w:val="22"/>
                <w:szCs w:val="22"/>
              </w:rPr>
              <w:t>(Working or on</w:t>
            </w:r>
          </w:p>
          <w:p w:rsidR="00FF50D9" w:rsidRPr="006E5089" w:rsidRDefault="00FF50D9" w:rsidP="00E67EA2">
            <w:pPr>
              <w:autoSpaceDE w:val="0"/>
              <w:autoSpaceDN w:val="0"/>
              <w:adjustRightInd w:val="0"/>
              <w:jc w:val="center"/>
              <w:rPr>
                <w:sz w:val="22"/>
                <w:szCs w:val="22"/>
              </w:rPr>
            </w:pPr>
            <w:r w:rsidRPr="006E5089">
              <w:rPr>
                <w:sz w:val="22"/>
                <w:szCs w:val="22"/>
              </w:rPr>
              <w:t>Paid Annual or Sick Leave)</w:t>
            </w:r>
          </w:p>
        </w:tc>
        <w:tc>
          <w:tcPr>
            <w:tcW w:w="2520" w:type="dxa"/>
            <w:tcBorders>
              <w:bottom w:val="single" w:sz="4" w:space="0" w:color="auto"/>
            </w:tcBorders>
            <w:shd w:val="clear" w:color="auto" w:fill="E0E0E0"/>
          </w:tcPr>
          <w:p w:rsidR="004B3CA9" w:rsidRPr="006E5089" w:rsidRDefault="004B3CA9" w:rsidP="00E67EA2">
            <w:pPr>
              <w:autoSpaceDE w:val="0"/>
              <w:autoSpaceDN w:val="0"/>
              <w:adjustRightInd w:val="0"/>
              <w:jc w:val="center"/>
              <w:rPr>
                <w:b/>
              </w:rPr>
            </w:pPr>
            <w:r w:rsidRPr="006E5089">
              <w:rPr>
                <w:b/>
              </w:rPr>
              <w:t>PAID</w:t>
            </w:r>
          </w:p>
          <w:p w:rsidR="00FF50D9" w:rsidRPr="006E5089" w:rsidRDefault="00FF50D9" w:rsidP="00E67EA2">
            <w:pPr>
              <w:autoSpaceDE w:val="0"/>
              <w:autoSpaceDN w:val="0"/>
              <w:adjustRightInd w:val="0"/>
              <w:jc w:val="center"/>
            </w:pPr>
            <w:r w:rsidRPr="006E5089">
              <w:rPr>
                <w:b/>
              </w:rPr>
              <w:t>SUBPART (a) DUTY</w:t>
            </w:r>
          </w:p>
          <w:p w:rsidR="00FF50D9" w:rsidRPr="006E5089" w:rsidRDefault="00FF50D9" w:rsidP="00E67EA2">
            <w:pPr>
              <w:autoSpaceDE w:val="0"/>
              <w:autoSpaceDN w:val="0"/>
              <w:adjustRightInd w:val="0"/>
              <w:jc w:val="center"/>
              <w:rPr>
                <w:sz w:val="22"/>
                <w:szCs w:val="22"/>
              </w:rPr>
            </w:pPr>
            <w:r w:rsidRPr="006E5089">
              <w:rPr>
                <w:sz w:val="22"/>
                <w:szCs w:val="22"/>
              </w:rPr>
              <w:t>(</w:t>
            </w:r>
            <w:r w:rsidR="00BC5D7E" w:rsidRPr="006E5089">
              <w:rPr>
                <w:sz w:val="22"/>
                <w:szCs w:val="22"/>
              </w:rPr>
              <w:t xml:space="preserve">Paid </w:t>
            </w:r>
            <w:r w:rsidRPr="006E5089">
              <w:rPr>
                <w:sz w:val="22"/>
                <w:szCs w:val="22"/>
              </w:rPr>
              <w:t>State Active Duty &amp; Reserve)</w:t>
            </w:r>
          </w:p>
        </w:tc>
        <w:tc>
          <w:tcPr>
            <w:tcW w:w="2640" w:type="dxa"/>
            <w:tcBorders>
              <w:bottom w:val="single" w:sz="4" w:space="0" w:color="auto"/>
            </w:tcBorders>
            <w:shd w:val="clear" w:color="auto" w:fill="E0E0E0"/>
          </w:tcPr>
          <w:p w:rsidR="00FF50D9" w:rsidRPr="006E5089" w:rsidRDefault="004B3CA9" w:rsidP="00E67EA2">
            <w:pPr>
              <w:autoSpaceDE w:val="0"/>
              <w:autoSpaceDN w:val="0"/>
              <w:adjustRightInd w:val="0"/>
              <w:jc w:val="center"/>
              <w:rPr>
                <w:b/>
              </w:rPr>
            </w:pPr>
            <w:r w:rsidRPr="006E5089">
              <w:rPr>
                <w:b/>
              </w:rPr>
              <w:t>PAID</w:t>
            </w:r>
          </w:p>
          <w:p w:rsidR="00FF50D9" w:rsidRPr="006E5089" w:rsidRDefault="00FF50D9" w:rsidP="00E67EA2">
            <w:pPr>
              <w:autoSpaceDE w:val="0"/>
              <w:autoSpaceDN w:val="0"/>
              <w:adjustRightInd w:val="0"/>
              <w:jc w:val="center"/>
            </w:pPr>
            <w:r w:rsidRPr="006E5089">
              <w:rPr>
                <w:b/>
              </w:rPr>
              <w:t>SUBPART (b) DUTY</w:t>
            </w:r>
          </w:p>
          <w:p w:rsidR="00FF50D9" w:rsidRPr="006E5089" w:rsidRDefault="00FF50D9" w:rsidP="00E67EA2">
            <w:pPr>
              <w:autoSpaceDE w:val="0"/>
              <w:autoSpaceDN w:val="0"/>
              <w:adjustRightInd w:val="0"/>
              <w:jc w:val="center"/>
              <w:rPr>
                <w:sz w:val="22"/>
                <w:szCs w:val="22"/>
              </w:rPr>
            </w:pPr>
            <w:r w:rsidRPr="006E5089">
              <w:rPr>
                <w:sz w:val="22"/>
                <w:szCs w:val="22"/>
              </w:rPr>
              <w:t>(Paid Federal Active Duty)</w:t>
            </w:r>
          </w:p>
        </w:tc>
        <w:tc>
          <w:tcPr>
            <w:tcW w:w="2760" w:type="dxa"/>
            <w:tcBorders>
              <w:bottom w:val="single" w:sz="4" w:space="0" w:color="auto"/>
            </w:tcBorders>
            <w:shd w:val="clear" w:color="auto" w:fill="E0E0E0"/>
          </w:tcPr>
          <w:p w:rsidR="00FF50D9" w:rsidRPr="006E5089" w:rsidRDefault="00FF50D9" w:rsidP="00E67EA2">
            <w:pPr>
              <w:autoSpaceDE w:val="0"/>
              <w:autoSpaceDN w:val="0"/>
              <w:adjustRightInd w:val="0"/>
              <w:jc w:val="center"/>
              <w:rPr>
                <w:b/>
              </w:rPr>
            </w:pPr>
            <w:r w:rsidRPr="006E5089">
              <w:rPr>
                <w:b/>
              </w:rPr>
              <w:t>UNPAID</w:t>
            </w:r>
          </w:p>
          <w:p w:rsidR="00FF50D9" w:rsidRPr="006E5089" w:rsidRDefault="00FF50D9" w:rsidP="004B3CA9">
            <w:pPr>
              <w:autoSpaceDE w:val="0"/>
              <w:autoSpaceDN w:val="0"/>
              <w:adjustRightInd w:val="0"/>
              <w:jc w:val="center"/>
              <w:rPr>
                <w:sz w:val="22"/>
                <w:szCs w:val="22"/>
              </w:rPr>
            </w:pPr>
            <w:r w:rsidRPr="006E5089">
              <w:rPr>
                <w:sz w:val="22"/>
                <w:szCs w:val="22"/>
              </w:rPr>
              <w:t xml:space="preserve">(Leave of </w:t>
            </w:r>
            <w:r w:rsidR="004B3CA9" w:rsidRPr="006E5089">
              <w:rPr>
                <w:sz w:val="22"/>
                <w:szCs w:val="22"/>
              </w:rPr>
              <w:t>A</w:t>
            </w:r>
            <w:r w:rsidRPr="006E5089">
              <w:rPr>
                <w:sz w:val="22"/>
                <w:szCs w:val="22"/>
              </w:rPr>
              <w:t>bsence</w:t>
            </w:r>
            <w:r w:rsidR="004B3CA9" w:rsidRPr="006E5089">
              <w:rPr>
                <w:sz w:val="22"/>
                <w:szCs w:val="22"/>
              </w:rPr>
              <w:t>, Suspension, or U</w:t>
            </w:r>
            <w:r w:rsidR="00BC5D7E" w:rsidRPr="006E5089">
              <w:rPr>
                <w:sz w:val="22"/>
                <w:szCs w:val="22"/>
              </w:rPr>
              <w:t xml:space="preserve">npaid </w:t>
            </w:r>
            <w:r w:rsidRPr="006E5089">
              <w:rPr>
                <w:sz w:val="22"/>
                <w:szCs w:val="22"/>
              </w:rPr>
              <w:t>Federal or State Duty)</w:t>
            </w:r>
          </w:p>
        </w:tc>
      </w:tr>
      <w:tr w:rsidR="00CD6848" w:rsidRPr="006E5089" w:rsidTr="004B3CA9">
        <w:tc>
          <w:tcPr>
            <w:tcW w:w="1548" w:type="dxa"/>
            <w:shd w:val="clear" w:color="auto" w:fill="E0E0E0"/>
          </w:tcPr>
          <w:p w:rsidR="00CD6848" w:rsidRPr="006E5089" w:rsidRDefault="00CD6848" w:rsidP="00E67EA2">
            <w:pPr>
              <w:autoSpaceDE w:val="0"/>
              <w:autoSpaceDN w:val="0"/>
              <w:adjustRightInd w:val="0"/>
              <w:rPr>
                <w:b/>
                <w:sz w:val="20"/>
                <w:szCs w:val="20"/>
              </w:rPr>
            </w:pPr>
            <w:r w:rsidRPr="006E5089">
              <w:rPr>
                <w:b/>
                <w:sz w:val="20"/>
                <w:szCs w:val="20"/>
              </w:rPr>
              <w:t>MILITARY LEAVE TYPE</w:t>
            </w:r>
          </w:p>
        </w:tc>
        <w:tc>
          <w:tcPr>
            <w:tcW w:w="1620" w:type="dxa"/>
            <w:vMerge w:val="restart"/>
            <w:shd w:val="clear" w:color="auto" w:fill="B3B3B3"/>
          </w:tcPr>
          <w:p w:rsidR="00CD6848" w:rsidRPr="006E5089" w:rsidRDefault="00CD6848" w:rsidP="00E67EA2">
            <w:pPr>
              <w:autoSpaceDE w:val="0"/>
              <w:autoSpaceDN w:val="0"/>
              <w:adjustRightInd w:val="0"/>
            </w:pPr>
          </w:p>
        </w:tc>
        <w:tc>
          <w:tcPr>
            <w:tcW w:w="1980" w:type="dxa"/>
            <w:shd w:val="clear" w:color="auto" w:fill="B3B3B3"/>
          </w:tcPr>
          <w:p w:rsidR="00CD6848" w:rsidRPr="006E5089" w:rsidRDefault="00CD6848" w:rsidP="00E67EA2">
            <w:pPr>
              <w:autoSpaceDE w:val="0"/>
              <w:autoSpaceDN w:val="0"/>
              <w:adjustRightInd w:val="0"/>
            </w:pPr>
          </w:p>
        </w:tc>
        <w:tc>
          <w:tcPr>
            <w:tcW w:w="2520" w:type="dxa"/>
            <w:shd w:val="clear" w:color="auto" w:fill="B3B3B3"/>
          </w:tcPr>
          <w:p w:rsidR="00CD6848" w:rsidRPr="006E5089" w:rsidRDefault="00CD6848" w:rsidP="00E67EA2">
            <w:pPr>
              <w:autoSpaceDE w:val="0"/>
              <w:autoSpaceDN w:val="0"/>
              <w:adjustRightInd w:val="0"/>
            </w:pPr>
          </w:p>
        </w:tc>
        <w:tc>
          <w:tcPr>
            <w:tcW w:w="2640" w:type="dxa"/>
            <w:shd w:val="clear" w:color="auto" w:fill="B3B3B3"/>
          </w:tcPr>
          <w:p w:rsidR="00CD6848" w:rsidRPr="006E5089" w:rsidRDefault="00CD6848" w:rsidP="00E67EA2">
            <w:pPr>
              <w:autoSpaceDE w:val="0"/>
              <w:autoSpaceDN w:val="0"/>
              <w:adjustRightInd w:val="0"/>
            </w:pPr>
          </w:p>
        </w:tc>
        <w:tc>
          <w:tcPr>
            <w:tcW w:w="2760" w:type="dxa"/>
            <w:shd w:val="clear" w:color="auto" w:fill="B3B3B3"/>
          </w:tcPr>
          <w:p w:rsidR="00CD6848" w:rsidRPr="006E5089" w:rsidRDefault="00CD6848" w:rsidP="00E67EA2">
            <w:pPr>
              <w:autoSpaceDE w:val="0"/>
              <w:autoSpaceDN w:val="0"/>
              <w:adjustRightInd w:val="0"/>
            </w:pPr>
          </w:p>
        </w:tc>
      </w:tr>
      <w:tr w:rsidR="00CD6848" w:rsidRPr="006E5089" w:rsidTr="004B3CA9">
        <w:tc>
          <w:tcPr>
            <w:tcW w:w="1548" w:type="dxa"/>
            <w:tcBorders>
              <w:bottom w:val="single" w:sz="4" w:space="0" w:color="auto"/>
            </w:tcBorders>
            <w:shd w:val="clear" w:color="auto" w:fill="E0E0E0"/>
          </w:tcPr>
          <w:p w:rsidR="00CD6848" w:rsidRPr="006E5089" w:rsidRDefault="00CD6848" w:rsidP="00E67EA2">
            <w:pPr>
              <w:autoSpaceDE w:val="0"/>
              <w:autoSpaceDN w:val="0"/>
              <w:adjustRightInd w:val="0"/>
            </w:pPr>
            <w:r w:rsidRPr="006E5089">
              <w:t xml:space="preserve">Subpart (a) </w:t>
            </w:r>
          </w:p>
          <w:p w:rsidR="00CD6848" w:rsidRPr="006E5089" w:rsidRDefault="00CD6848" w:rsidP="00E67EA2">
            <w:pPr>
              <w:autoSpaceDE w:val="0"/>
              <w:autoSpaceDN w:val="0"/>
              <w:adjustRightInd w:val="0"/>
            </w:pPr>
          </w:p>
        </w:tc>
        <w:tc>
          <w:tcPr>
            <w:tcW w:w="1620" w:type="dxa"/>
            <w:vMerge/>
            <w:shd w:val="clear" w:color="auto" w:fill="B3B3B3"/>
          </w:tcPr>
          <w:p w:rsidR="00CD6848" w:rsidRPr="006E5089" w:rsidRDefault="00CD6848" w:rsidP="00E67EA2">
            <w:pPr>
              <w:autoSpaceDE w:val="0"/>
              <w:autoSpaceDN w:val="0"/>
              <w:adjustRightInd w:val="0"/>
              <w:jc w:val="center"/>
              <w:rPr>
                <w:b/>
              </w:rPr>
            </w:pPr>
          </w:p>
        </w:tc>
        <w:tc>
          <w:tcPr>
            <w:tcW w:w="1980" w:type="dxa"/>
            <w:tcBorders>
              <w:bottom w:val="single" w:sz="4" w:space="0" w:color="auto"/>
            </w:tcBorders>
          </w:tcPr>
          <w:p w:rsidR="00CD6848" w:rsidRPr="006E5089" w:rsidRDefault="00CD6848" w:rsidP="00E67EA2">
            <w:pPr>
              <w:autoSpaceDE w:val="0"/>
              <w:autoSpaceDN w:val="0"/>
              <w:adjustRightInd w:val="0"/>
              <w:jc w:val="center"/>
              <w:rPr>
                <w:b/>
              </w:rPr>
            </w:pPr>
            <w:r w:rsidRPr="006E5089">
              <w:rPr>
                <w:b/>
              </w:rPr>
              <w:t>YES</w:t>
            </w:r>
          </w:p>
          <w:p w:rsidR="00CD6848" w:rsidRPr="006E5089" w:rsidRDefault="00CD6848" w:rsidP="00E67EA2">
            <w:pPr>
              <w:autoSpaceDE w:val="0"/>
              <w:autoSpaceDN w:val="0"/>
              <w:adjustRightInd w:val="0"/>
              <w:jc w:val="center"/>
            </w:pPr>
            <w:r w:rsidRPr="006E5089">
              <w:t xml:space="preserve">30 Subpart (a) Days </w:t>
            </w:r>
          </w:p>
          <w:p w:rsidR="00CD6848" w:rsidRPr="006E5089" w:rsidRDefault="00CD6848" w:rsidP="00E67EA2">
            <w:pPr>
              <w:autoSpaceDE w:val="0"/>
              <w:autoSpaceDN w:val="0"/>
              <w:adjustRightInd w:val="0"/>
              <w:jc w:val="center"/>
              <w:rPr>
                <w:vertAlign w:val="superscript"/>
              </w:rPr>
            </w:pPr>
            <w:r w:rsidRPr="006E5089">
              <w:t>Posted January 1</w:t>
            </w:r>
          </w:p>
          <w:p w:rsidR="00CD6848" w:rsidRPr="006E5089" w:rsidRDefault="00CD6848" w:rsidP="00E67EA2">
            <w:pPr>
              <w:autoSpaceDE w:val="0"/>
              <w:autoSpaceDN w:val="0"/>
              <w:adjustRightInd w:val="0"/>
              <w:jc w:val="center"/>
            </w:pPr>
            <w:r w:rsidRPr="006E5089">
              <w:t>**</w:t>
            </w:r>
          </w:p>
        </w:tc>
        <w:tc>
          <w:tcPr>
            <w:tcW w:w="2520" w:type="dxa"/>
            <w:tcBorders>
              <w:bottom w:val="single" w:sz="4" w:space="0" w:color="auto"/>
            </w:tcBorders>
          </w:tcPr>
          <w:p w:rsidR="00CD6848" w:rsidRPr="006E5089" w:rsidRDefault="00CD6848" w:rsidP="00E67EA2">
            <w:pPr>
              <w:autoSpaceDE w:val="0"/>
              <w:autoSpaceDN w:val="0"/>
              <w:adjustRightInd w:val="0"/>
              <w:jc w:val="center"/>
              <w:rPr>
                <w:b/>
              </w:rPr>
            </w:pPr>
            <w:r w:rsidRPr="006E5089">
              <w:rPr>
                <w:b/>
              </w:rPr>
              <w:t>YES</w:t>
            </w:r>
          </w:p>
          <w:p w:rsidR="00CD6848" w:rsidRPr="006E5089" w:rsidRDefault="00CD6848" w:rsidP="00E67EA2">
            <w:pPr>
              <w:autoSpaceDE w:val="0"/>
              <w:autoSpaceDN w:val="0"/>
              <w:adjustRightInd w:val="0"/>
              <w:jc w:val="center"/>
            </w:pPr>
            <w:r w:rsidRPr="006E5089">
              <w:t xml:space="preserve">30 Subpart (a) Days </w:t>
            </w:r>
          </w:p>
          <w:p w:rsidR="00CD6848" w:rsidRPr="006E5089" w:rsidRDefault="00CD6848" w:rsidP="00E67EA2">
            <w:pPr>
              <w:autoSpaceDE w:val="0"/>
              <w:autoSpaceDN w:val="0"/>
              <w:adjustRightInd w:val="0"/>
              <w:jc w:val="center"/>
            </w:pPr>
            <w:r w:rsidRPr="006E5089">
              <w:t>Posted January 1</w:t>
            </w:r>
          </w:p>
          <w:p w:rsidR="00CD6848" w:rsidRPr="006E5089" w:rsidRDefault="00CD6848" w:rsidP="00E67EA2">
            <w:pPr>
              <w:autoSpaceDE w:val="0"/>
              <w:autoSpaceDN w:val="0"/>
              <w:adjustRightInd w:val="0"/>
              <w:jc w:val="center"/>
            </w:pPr>
            <w:r w:rsidRPr="006E5089">
              <w:t>**</w:t>
            </w:r>
          </w:p>
          <w:p w:rsidR="00CD6848" w:rsidRPr="006E5089" w:rsidRDefault="00CD6848" w:rsidP="00E67EA2">
            <w:pPr>
              <w:autoSpaceDE w:val="0"/>
              <w:autoSpaceDN w:val="0"/>
              <w:adjustRightInd w:val="0"/>
            </w:pPr>
          </w:p>
        </w:tc>
        <w:tc>
          <w:tcPr>
            <w:tcW w:w="2640" w:type="dxa"/>
            <w:tcBorders>
              <w:bottom w:val="single" w:sz="4" w:space="0" w:color="auto"/>
            </w:tcBorders>
          </w:tcPr>
          <w:p w:rsidR="00CD6848" w:rsidRPr="006E5089" w:rsidRDefault="00CD6848" w:rsidP="00E67EA2">
            <w:pPr>
              <w:autoSpaceDE w:val="0"/>
              <w:autoSpaceDN w:val="0"/>
              <w:adjustRightInd w:val="0"/>
              <w:jc w:val="center"/>
              <w:rPr>
                <w:b/>
              </w:rPr>
            </w:pPr>
            <w:r w:rsidRPr="006E5089">
              <w:rPr>
                <w:b/>
              </w:rPr>
              <w:t>NO</w:t>
            </w:r>
          </w:p>
          <w:p w:rsidR="00CD6848" w:rsidRPr="006E5089" w:rsidRDefault="00CD6848" w:rsidP="00E67EA2">
            <w:pPr>
              <w:autoSpaceDE w:val="0"/>
              <w:autoSpaceDN w:val="0"/>
              <w:adjustRightInd w:val="0"/>
              <w:jc w:val="center"/>
            </w:pPr>
            <w:r w:rsidRPr="006E5089">
              <w:t>30 Subpart (a) Days</w:t>
            </w:r>
          </w:p>
          <w:p w:rsidR="00CD6848" w:rsidRPr="006E5089" w:rsidRDefault="00CD6848" w:rsidP="00E67EA2">
            <w:pPr>
              <w:autoSpaceDE w:val="0"/>
              <w:autoSpaceDN w:val="0"/>
              <w:adjustRightInd w:val="0"/>
              <w:jc w:val="center"/>
            </w:pPr>
            <w:r w:rsidRPr="006E5089">
              <w:t>Not Posted until released by the military and returns to State employment and Active Pay Status</w:t>
            </w:r>
          </w:p>
        </w:tc>
        <w:tc>
          <w:tcPr>
            <w:tcW w:w="2760" w:type="dxa"/>
            <w:tcBorders>
              <w:bottom w:val="single" w:sz="4" w:space="0" w:color="auto"/>
            </w:tcBorders>
          </w:tcPr>
          <w:p w:rsidR="00CD6848" w:rsidRPr="006E5089" w:rsidRDefault="00CD6848" w:rsidP="00E67EA2">
            <w:pPr>
              <w:autoSpaceDE w:val="0"/>
              <w:autoSpaceDN w:val="0"/>
              <w:adjustRightInd w:val="0"/>
              <w:jc w:val="center"/>
              <w:rPr>
                <w:b/>
              </w:rPr>
            </w:pPr>
            <w:r w:rsidRPr="006E5089">
              <w:rPr>
                <w:b/>
              </w:rPr>
              <w:t>NO</w:t>
            </w:r>
          </w:p>
          <w:p w:rsidR="00CD6848" w:rsidRPr="006E5089" w:rsidRDefault="00CD6848" w:rsidP="00E67EA2">
            <w:pPr>
              <w:autoSpaceDE w:val="0"/>
              <w:autoSpaceDN w:val="0"/>
              <w:adjustRightInd w:val="0"/>
              <w:jc w:val="center"/>
            </w:pPr>
            <w:r w:rsidRPr="006E5089">
              <w:t>30 Subpart (a) Days</w:t>
            </w:r>
          </w:p>
          <w:p w:rsidR="00CD6848" w:rsidRPr="006E5089" w:rsidRDefault="00CD6848" w:rsidP="00E67EA2">
            <w:pPr>
              <w:autoSpaceDE w:val="0"/>
              <w:autoSpaceDN w:val="0"/>
              <w:adjustRightInd w:val="0"/>
              <w:jc w:val="center"/>
            </w:pPr>
            <w:r w:rsidRPr="006E5089">
              <w:t>Not Posted until released by the military and returns to State employment and Active Pay Status</w:t>
            </w:r>
          </w:p>
        </w:tc>
      </w:tr>
      <w:tr w:rsidR="00CD6848" w:rsidRPr="006E5089" w:rsidTr="004B3CA9">
        <w:tc>
          <w:tcPr>
            <w:tcW w:w="1548" w:type="dxa"/>
            <w:shd w:val="clear" w:color="auto" w:fill="E0E0E0"/>
          </w:tcPr>
          <w:p w:rsidR="00CD6848" w:rsidRPr="006E5089" w:rsidRDefault="00CD6848" w:rsidP="00E67EA2">
            <w:pPr>
              <w:autoSpaceDE w:val="0"/>
              <w:autoSpaceDN w:val="0"/>
              <w:adjustRightInd w:val="0"/>
            </w:pPr>
          </w:p>
        </w:tc>
        <w:tc>
          <w:tcPr>
            <w:tcW w:w="1620" w:type="dxa"/>
            <w:vMerge/>
            <w:shd w:val="clear" w:color="auto" w:fill="B3B3B3"/>
          </w:tcPr>
          <w:p w:rsidR="00CD6848" w:rsidRPr="006E5089" w:rsidRDefault="00CD6848" w:rsidP="00E67EA2">
            <w:pPr>
              <w:autoSpaceDE w:val="0"/>
              <w:autoSpaceDN w:val="0"/>
              <w:adjustRightInd w:val="0"/>
            </w:pPr>
          </w:p>
        </w:tc>
        <w:tc>
          <w:tcPr>
            <w:tcW w:w="1980" w:type="dxa"/>
            <w:shd w:val="clear" w:color="auto" w:fill="B3B3B3"/>
          </w:tcPr>
          <w:p w:rsidR="00CD6848" w:rsidRPr="006E5089" w:rsidRDefault="00CD6848" w:rsidP="00E67EA2">
            <w:pPr>
              <w:autoSpaceDE w:val="0"/>
              <w:autoSpaceDN w:val="0"/>
              <w:adjustRightInd w:val="0"/>
            </w:pPr>
            <w:r w:rsidRPr="006E5089">
              <w:t xml:space="preserve"> </w:t>
            </w:r>
          </w:p>
        </w:tc>
        <w:tc>
          <w:tcPr>
            <w:tcW w:w="2520" w:type="dxa"/>
            <w:shd w:val="clear" w:color="auto" w:fill="B3B3B3"/>
          </w:tcPr>
          <w:p w:rsidR="00CD6848" w:rsidRPr="006E5089" w:rsidRDefault="00CD6848" w:rsidP="00E67EA2">
            <w:pPr>
              <w:autoSpaceDE w:val="0"/>
              <w:autoSpaceDN w:val="0"/>
              <w:adjustRightInd w:val="0"/>
            </w:pPr>
          </w:p>
        </w:tc>
        <w:tc>
          <w:tcPr>
            <w:tcW w:w="2640" w:type="dxa"/>
            <w:shd w:val="clear" w:color="auto" w:fill="B3B3B3"/>
          </w:tcPr>
          <w:p w:rsidR="00CD6848" w:rsidRPr="006E5089" w:rsidRDefault="00CD6848" w:rsidP="00E67EA2">
            <w:pPr>
              <w:autoSpaceDE w:val="0"/>
              <w:autoSpaceDN w:val="0"/>
              <w:adjustRightInd w:val="0"/>
            </w:pPr>
          </w:p>
        </w:tc>
        <w:tc>
          <w:tcPr>
            <w:tcW w:w="2760" w:type="dxa"/>
            <w:shd w:val="clear" w:color="auto" w:fill="B3B3B3"/>
          </w:tcPr>
          <w:p w:rsidR="00CD6848" w:rsidRPr="006E5089" w:rsidRDefault="00CD6848" w:rsidP="00E67EA2">
            <w:pPr>
              <w:autoSpaceDE w:val="0"/>
              <w:autoSpaceDN w:val="0"/>
              <w:adjustRightInd w:val="0"/>
            </w:pPr>
            <w:r w:rsidRPr="006E5089">
              <w:t xml:space="preserve"> </w:t>
            </w:r>
          </w:p>
        </w:tc>
      </w:tr>
      <w:tr w:rsidR="00CD6848" w:rsidRPr="00E331EC" w:rsidTr="004B3CA9">
        <w:tc>
          <w:tcPr>
            <w:tcW w:w="1548" w:type="dxa"/>
            <w:tcBorders>
              <w:bottom w:val="single" w:sz="4" w:space="0" w:color="auto"/>
            </w:tcBorders>
            <w:shd w:val="clear" w:color="auto" w:fill="E0E0E0"/>
          </w:tcPr>
          <w:p w:rsidR="00CD6848" w:rsidRPr="006E5089" w:rsidRDefault="00CD6848" w:rsidP="00E67EA2">
            <w:pPr>
              <w:autoSpaceDE w:val="0"/>
              <w:autoSpaceDN w:val="0"/>
              <w:adjustRightInd w:val="0"/>
            </w:pPr>
            <w:r w:rsidRPr="006E5089">
              <w:t xml:space="preserve">Subpart (b)  </w:t>
            </w:r>
          </w:p>
          <w:p w:rsidR="00CD6848" w:rsidRPr="006E5089" w:rsidRDefault="00CD6848" w:rsidP="00E67EA2">
            <w:pPr>
              <w:autoSpaceDE w:val="0"/>
              <w:autoSpaceDN w:val="0"/>
              <w:adjustRightInd w:val="0"/>
            </w:pPr>
          </w:p>
        </w:tc>
        <w:tc>
          <w:tcPr>
            <w:tcW w:w="1620" w:type="dxa"/>
            <w:vMerge/>
            <w:shd w:val="clear" w:color="auto" w:fill="B3B3B3"/>
          </w:tcPr>
          <w:p w:rsidR="00CD6848" w:rsidRPr="006E5089" w:rsidRDefault="00CD6848" w:rsidP="00E67EA2">
            <w:pPr>
              <w:autoSpaceDE w:val="0"/>
              <w:autoSpaceDN w:val="0"/>
              <w:adjustRightInd w:val="0"/>
              <w:jc w:val="center"/>
              <w:rPr>
                <w:b/>
              </w:rPr>
            </w:pPr>
          </w:p>
        </w:tc>
        <w:tc>
          <w:tcPr>
            <w:tcW w:w="1980" w:type="dxa"/>
            <w:tcBorders>
              <w:bottom w:val="single" w:sz="4" w:space="0" w:color="auto"/>
            </w:tcBorders>
          </w:tcPr>
          <w:p w:rsidR="00CD6848" w:rsidRPr="006E5089" w:rsidRDefault="00CD6848" w:rsidP="00E67EA2">
            <w:pPr>
              <w:autoSpaceDE w:val="0"/>
              <w:autoSpaceDN w:val="0"/>
              <w:adjustRightInd w:val="0"/>
              <w:jc w:val="center"/>
              <w:rPr>
                <w:b/>
              </w:rPr>
            </w:pPr>
            <w:r w:rsidRPr="006E5089">
              <w:rPr>
                <w:b/>
              </w:rPr>
              <w:t>YES</w:t>
            </w:r>
          </w:p>
          <w:p w:rsidR="00CD6848" w:rsidRPr="006E5089" w:rsidRDefault="00CD6848" w:rsidP="00E67EA2">
            <w:pPr>
              <w:autoSpaceDE w:val="0"/>
              <w:autoSpaceDN w:val="0"/>
              <w:adjustRightInd w:val="0"/>
              <w:jc w:val="center"/>
            </w:pPr>
            <w:r w:rsidRPr="006E5089">
              <w:t>30 Subpart (b) Days</w:t>
            </w:r>
          </w:p>
          <w:p w:rsidR="00CD6848" w:rsidRPr="006E5089" w:rsidRDefault="00CD6848" w:rsidP="00E67EA2">
            <w:pPr>
              <w:autoSpaceDE w:val="0"/>
              <w:autoSpaceDN w:val="0"/>
              <w:adjustRightInd w:val="0"/>
              <w:jc w:val="center"/>
            </w:pPr>
            <w:r w:rsidRPr="006E5089">
              <w:t>P</w:t>
            </w:r>
            <w:r w:rsidR="00BD177E">
              <w:t>er Activation</w:t>
            </w:r>
          </w:p>
          <w:p w:rsidR="00CD6848" w:rsidRPr="006E5089" w:rsidRDefault="00CD6848" w:rsidP="00E67EA2">
            <w:pPr>
              <w:autoSpaceDE w:val="0"/>
              <w:autoSpaceDN w:val="0"/>
              <w:adjustRightInd w:val="0"/>
              <w:jc w:val="center"/>
            </w:pPr>
            <w:r w:rsidRPr="006E5089">
              <w:t>**</w:t>
            </w:r>
          </w:p>
        </w:tc>
        <w:tc>
          <w:tcPr>
            <w:tcW w:w="2520" w:type="dxa"/>
            <w:tcBorders>
              <w:bottom w:val="single" w:sz="4" w:space="0" w:color="auto"/>
            </w:tcBorders>
          </w:tcPr>
          <w:p w:rsidR="00CD6848" w:rsidRPr="006E5089" w:rsidRDefault="00CD6848" w:rsidP="00E67EA2">
            <w:pPr>
              <w:autoSpaceDE w:val="0"/>
              <w:autoSpaceDN w:val="0"/>
              <w:adjustRightInd w:val="0"/>
              <w:jc w:val="center"/>
              <w:rPr>
                <w:b/>
              </w:rPr>
            </w:pPr>
            <w:r w:rsidRPr="006E5089">
              <w:rPr>
                <w:b/>
              </w:rPr>
              <w:t>YES</w:t>
            </w:r>
          </w:p>
          <w:p w:rsidR="00CD6848" w:rsidRPr="006E5089" w:rsidRDefault="00CD6848" w:rsidP="00E67EA2">
            <w:pPr>
              <w:autoSpaceDE w:val="0"/>
              <w:autoSpaceDN w:val="0"/>
              <w:adjustRightInd w:val="0"/>
              <w:jc w:val="center"/>
            </w:pPr>
            <w:r w:rsidRPr="006E5089">
              <w:t>30 Subpart (b) Days</w:t>
            </w:r>
          </w:p>
          <w:p w:rsidR="00CD6848" w:rsidRPr="006E5089" w:rsidRDefault="00CD6848" w:rsidP="00E67EA2">
            <w:pPr>
              <w:autoSpaceDE w:val="0"/>
              <w:autoSpaceDN w:val="0"/>
              <w:adjustRightInd w:val="0"/>
              <w:jc w:val="center"/>
            </w:pPr>
            <w:r w:rsidRPr="006E5089">
              <w:t>P</w:t>
            </w:r>
            <w:r w:rsidR="00BD177E">
              <w:t>er Activation</w:t>
            </w:r>
          </w:p>
          <w:p w:rsidR="00CD6848" w:rsidRPr="006E5089" w:rsidRDefault="00CD6848" w:rsidP="00E67EA2">
            <w:pPr>
              <w:autoSpaceDE w:val="0"/>
              <w:autoSpaceDN w:val="0"/>
              <w:adjustRightInd w:val="0"/>
              <w:jc w:val="center"/>
            </w:pPr>
            <w:r w:rsidRPr="006E5089">
              <w:t>**</w:t>
            </w:r>
          </w:p>
        </w:tc>
        <w:tc>
          <w:tcPr>
            <w:tcW w:w="2640" w:type="dxa"/>
            <w:tcBorders>
              <w:bottom w:val="single" w:sz="4" w:space="0" w:color="auto"/>
            </w:tcBorders>
          </w:tcPr>
          <w:p w:rsidR="00CD6848" w:rsidRPr="006E5089" w:rsidRDefault="00CD6848" w:rsidP="00E67EA2">
            <w:pPr>
              <w:autoSpaceDE w:val="0"/>
              <w:autoSpaceDN w:val="0"/>
              <w:adjustRightInd w:val="0"/>
              <w:jc w:val="center"/>
              <w:rPr>
                <w:b/>
              </w:rPr>
            </w:pPr>
            <w:r w:rsidRPr="006E5089">
              <w:rPr>
                <w:b/>
              </w:rPr>
              <w:t>NO</w:t>
            </w:r>
          </w:p>
          <w:p w:rsidR="00CD6848" w:rsidRPr="006E5089" w:rsidRDefault="00CD6848" w:rsidP="00E67EA2">
            <w:pPr>
              <w:autoSpaceDE w:val="0"/>
              <w:autoSpaceDN w:val="0"/>
              <w:adjustRightInd w:val="0"/>
              <w:jc w:val="center"/>
            </w:pPr>
            <w:r w:rsidRPr="006E5089">
              <w:t>30 Subpart (b) Days</w:t>
            </w:r>
          </w:p>
          <w:p w:rsidR="00CD6848" w:rsidRPr="006E5089" w:rsidRDefault="00CD6848" w:rsidP="00E67EA2">
            <w:pPr>
              <w:autoSpaceDE w:val="0"/>
              <w:autoSpaceDN w:val="0"/>
              <w:adjustRightInd w:val="0"/>
              <w:jc w:val="center"/>
            </w:pPr>
            <w:r w:rsidRPr="006E5089">
              <w:t>Not Posted until released by the military and returns to State employment and Active Pay Status</w:t>
            </w:r>
          </w:p>
        </w:tc>
        <w:tc>
          <w:tcPr>
            <w:tcW w:w="2760" w:type="dxa"/>
            <w:tcBorders>
              <w:bottom w:val="single" w:sz="4" w:space="0" w:color="auto"/>
            </w:tcBorders>
          </w:tcPr>
          <w:p w:rsidR="00CD6848" w:rsidRPr="006E5089" w:rsidRDefault="00CD6848" w:rsidP="00E67EA2">
            <w:pPr>
              <w:autoSpaceDE w:val="0"/>
              <w:autoSpaceDN w:val="0"/>
              <w:adjustRightInd w:val="0"/>
              <w:jc w:val="center"/>
              <w:rPr>
                <w:b/>
              </w:rPr>
            </w:pPr>
            <w:r w:rsidRPr="006E5089">
              <w:rPr>
                <w:b/>
              </w:rPr>
              <w:t>NO</w:t>
            </w:r>
          </w:p>
          <w:p w:rsidR="00CD6848" w:rsidRPr="006E5089" w:rsidRDefault="00CD6848" w:rsidP="00E67EA2">
            <w:pPr>
              <w:autoSpaceDE w:val="0"/>
              <w:autoSpaceDN w:val="0"/>
              <w:adjustRightInd w:val="0"/>
              <w:jc w:val="center"/>
            </w:pPr>
            <w:r w:rsidRPr="006E5089">
              <w:t xml:space="preserve">30 Subpart (b) Days </w:t>
            </w:r>
          </w:p>
          <w:p w:rsidR="00CD6848" w:rsidRPr="00AB1FA9" w:rsidRDefault="00CD6848" w:rsidP="0035528A">
            <w:pPr>
              <w:autoSpaceDE w:val="0"/>
              <w:autoSpaceDN w:val="0"/>
              <w:adjustRightInd w:val="0"/>
              <w:jc w:val="center"/>
            </w:pPr>
            <w:r w:rsidRPr="006E5089">
              <w:t xml:space="preserve">Not Posted until </w:t>
            </w:r>
            <w:r w:rsidR="0035528A" w:rsidRPr="006E5089">
              <w:t>r</w:t>
            </w:r>
            <w:r w:rsidRPr="006E5089">
              <w:t>eleased by the military and returns to State employment and Active Pay Status</w:t>
            </w:r>
          </w:p>
        </w:tc>
      </w:tr>
      <w:tr w:rsidR="00CD6848" w:rsidRPr="00E331EC" w:rsidTr="004B3CA9">
        <w:tc>
          <w:tcPr>
            <w:tcW w:w="1548" w:type="dxa"/>
            <w:tcBorders>
              <w:bottom w:val="single" w:sz="4" w:space="0" w:color="auto"/>
            </w:tcBorders>
            <w:shd w:val="clear" w:color="auto" w:fill="E0E0E0"/>
          </w:tcPr>
          <w:p w:rsidR="00CD6848" w:rsidRPr="00E331EC" w:rsidRDefault="00CD6848" w:rsidP="00E67EA2">
            <w:pPr>
              <w:autoSpaceDE w:val="0"/>
              <w:autoSpaceDN w:val="0"/>
              <w:adjustRightInd w:val="0"/>
            </w:pPr>
            <w:r>
              <w:t xml:space="preserve"> </w:t>
            </w:r>
          </w:p>
        </w:tc>
        <w:tc>
          <w:tcPr>
            <w:tcW w:w="1620" w:type="dxa"/>
            <w:vMerge/>
            <w:shd w:val="clear" w:color="auto" w:fill="B3B3B3"/>
          </w:tcPr>
          <w:p w:rsidR="00CD6848" w:rsidRDefault="00CD6848" w:rsidP="00E67EA2">
            <w:pPr>
              <w:autoSpaceDE w:val="0"/>
              <w:autoSpaceDN w:val="0"/>
              <w:adjustRightInd w:val="0"/>
            </w:pPr>
          </w:p>
        </w:tc>
        <w:tc>
          <w:tcPr>
            <w:tcW w:w="1980" w:type="dxa"/>
            <w:shd w:val="clear" w:color="auto" w:fill="B3B3B3"/>
          </w:tcPr>
          <w:p w:rsidR="00CD6848" w:rsidRPr="00E331EC" w:rsidRDefault="00CD6848" w:rsidP="00E67EA2">
            <w:pPr>
              <w:autoSpaceDE w:val="0"/>
              <w:autoSpaceDN w:val="0"/>
              <w:adjustRightInd w:val="0"/>
            </w:pPr>
            <w:r>
              <w:t xml:space="preserve"> </w:t>
            </w:r>
          </w:p>
        </w:tc>
        <w:tc>
          <w:tcPr>
            <w:tcW w:w="2520" w:type="dxa"/>
            <w:shd w:val="clear" w:color="auto" w:fill="B3B3B3"/>
          </w:tcPr>
          <w:p w:rsidR="00CD6848" w:rsidRPr="00E331EC" w:rsidRDefault="00CD6848" w:rsidP="00E67EA2">
            <w:pPr>
              <w:autoSpaceDE w:val="0"/>
              <w:autoSpaceDN w:val="0"/>
              <w:adjustRightInd w:val="0"/>
            </w:pPr>
          </w:p>
        </w:tc>
        <w:tc>
          <w:tcPr>
            <w:tcW w:w="2640" w:type="dxa"/>
            <w:shd w:val="clear" w:color="auto" w:fill="B3B3B3"/>
          </w:tcPr>
          <w:p w:rsidR="00CD6848" w:rsidRPr="00E331EC" w:rsidRDefault="00CD6848" w:rsidP="00E67EA2">
            <w:pPr>
              <w:autoSpaceDE w:val="0"/>
              <w:autoSpaceDN w:val="0"/>
              <w:adjustRightInd w:val="0"/>
            </w:pPr>
          </w:p>
        </w:tc>
        <w:tc>
          <w:tcPr>
            <w:tcW w:w="2760" w:type="dxa"/>
            <w:shd w:val="clear" w:color="auto" w:fill="B3B3B3"/>
          </w:tcPr>
          <w:p w:rsidR="00CD6848" w:rsidRPr="00E331EC" w:rsidRDefault="00CD6848" w:rsidP="00E67EA2">
            <w:pPr>
              <w:autoSpaceDE w:val="0"/>
              <w:autoSpaceDN w:val="0"/>
              <w:adjustRightInd w:val="0"/>
            </w:pPr>
          </w:p>
        </w:tc>
      </w:tr>
      <w:tr w:rsidR="00BC5D7E" w:rsidRPr="00E331EC" w:rsidTr="004B3CA9">
        <w:tc>
          <w:tcPr>
            <w:tcW w:w="1548" w:type="dxa"/>
            <w:shd w:val="clear" w:color="auto" w:fill="333333"/>
          </w:tcPr>
          <w:p w:rsidR="00BC5D7E" w:rsidRDefault="00BC5D7E" w:rsidP="00E67EA2">
            <w:pPr>
              <w:autoSpaceDE w:val="0"/>
              <w:autoSpaceDN w:val="0"/>
              <w:adjustRightInd w:val="0"/>
            </w:pPr>
            <w:r>
              <w:t xml:space="preserve"> </w:t>
            </w:r>
          </w:p>
          <w:p w:rsidR="00BC5D7E" w:rsidRPr="00E331EC" w:rsidRDefault="00BC5D7E" w:rsidP="00E67EA2">
            <w:pPr>
              <w:autoSpaceDE w:val="0"/>
              <w:autoSpaceDN w:val="0"/>
              <w:adjustRightInd w:val="0"/>
            </w:pPr>
          </w:p>
        </w:tc>
        <w:tc>
          <w:tcPr>
            <w:tcW w:w="11520" w:type="dxa"/>
            <w:gridSpan w:val="5"/>
          </w:tcPr>
          <w:p w:rsidR="00BC5D7E" w:rsidRPr="00E331EC" w:rsidRDefault="00BC5D7E" w:rsidP="00E67EA2">
            <w:pPr>
              <w:autoSpaceDE w:val="0"/>
              <w:autoSpaceDN w:val="0"/>
              <w:adjustRightInd w:val="0"/>
            </w:pPr>
            <w:r>
              <w:t xml:space="preserve">**NOTE: The maximum number of days of paid Military Leave for a single call to federal active duty is 60 days.  </w:t>
            </w:r>
          </w:p>
        </w:tc>
      </w:tr>
    </w:tbl>
    <w:p w:rsidR="00A74A01" w:rsidRDefault="00A74A01" w:rsidP="00A74A01">
      <w:pPr>
        <w:autoSpaceDE w:val="0"/>
        <w:autoSpaceDN w:val="0"/>
        <w:adjustRightInd w:val="0"/>
        <w:jc w:val="right"/>
      </w:pPr>
    </w:p>
    <w:p w:rsidR="00D35243" w:rsidRPr="002B3EE5" w:rsidRDefault="00D35243" w:rsidP="00A74A01">
      <w:pPr>
        <w:autoSpaceDE w:val="0"/>
        <w:autoSpaceDN w:val="0"/>
        <w:adjustRightInd w:val="0"/>
        <w:jc w:val="right"/>
        <w:rPr>
          <w:strike/>
        </w:rPr>
      </w:pPr>
    </w:p>
    <w:p w:rsidR="00F365DC" w:rsidRDefault="00F365DC" w:rsidP="00D35243">
      <w:pPr>
        <w:autoSpaceDE w:val="0"/>
        <w:autoSpaceDN w:val="0"/>
        <w:adjustRightInd w:val="0"/>
        <w:sectPr w:rsidR="00F365DC" w:rsidSect="00CD5739">
          <w:pgSz w:w="15840" w:h="12240" w:orient="landscape"/>
          <w:pgMar w:top="1440" w:right="1296" w:bottom="1440" w:left="1440" w:header="720" w:footer="720" w:gutter="0"/>
          <w:cols w:space="720"/>
          <w:noEndnote/>
        </w:sectPr>
      </w:pPr>
    </w:p>
    <w:p w:rsidR="003A3CDE" w:rsidRPr="006E5089" w:rsidRDefault="00BD0ADA" w:rsidP="00156942">
      <w:pPr>
        <w:autoSpaceDE w:val="0"/>
        <w:autoSpaceDN w:val="0"/>
        <w:adjustRightInd w:val="0"/>
        <w:jc w:val="center"/>
        <w:outlineLvl w:val="0"/>
        <w:rPr>
          <w:b/>
          <w:sz w:val="22"/>
        </w:rPr>
      </w:pPr>
      <w:bookmarkStart w:id="1" w:name="Military"/>
      <w:r w:rsidRPr="006E5089">
        <w:rPr>
          <w:b/>
          <w:sz w:val="22"/>
        </w:rPr>
        <w:lastRenderedPageBreak/>
        <w:t>EXAMPLES</w:t>
      </w:r>
    </w:p>
    <w:p w:rsidR="003A3CDE" w:rsidRPr="006E5089" w:rsidRDefault="003A3CDE" w:rsidP="00BD0ADA">
      <w:pPr>
        <w:autoSpaceDE w:val="0"/>
        <w:autoSpaceDN w:val="0"/>
        <w:adjustRightInd w:val="0"/>
        <w:rPr>
          <w:b/>
          <w:sz w:val="22"/>
          <w:u w:val="single"/>
        </w:rPr>
      </w:pPr>
    </w:p>
    <w:p w:rsidR="00141F0D" w:rsidRPr="006E5089" w:rsidRDefault="00141F0D" w:rsidP="00BD0ADA">
      <w:pPr>
        <w:autoSpaceDE w:val="0"/>
        <w:autoSpaceDN w:val="0"/>
        <w:adjustRightInd w:val="0"/>
        <w:rPr>
          <w:sz w:val="22"/>
        </w:rPr>
      </w:pPr>
      <w:r w:rsidRPr="006E5089">
        <w:rPr>
          <w:sz w:val="22"/>
        </w:rPr>
        <w:t xml:space="preserve">The </w:t>
      </w:r>
      <w:r w:rsidR="00274ECB">
        <w:rPr>
          <w:sz w:val="22"/>
        </w:rPr>
        <w:t xml:space="preserve">Subpart (a) and (b) </w:t>
      </w:r>
      <w:r w:rsidRPr="006E5089">
        <w:rPr>
          <w:sz w:val="22"/>
        </w:rPr>
        <w:t>examples provided below are based on the following calendar:</w:t>
      </w:r>
    </w:p>
    <w:p w:rsidR="00141F0D" w:rsidRPr="006E5089" w:rsidRDefault="00141F0D" w:rsidP="00141F0D">
      <w:pPr>
        <w:autoSpaceDE w:val="0"/>
        <w:autoSpaceDN w:val="0"/>
        <w:adjustRightInd w:val="0"/>
        <w:jc w:val="both"/>
        <w:rPr>
          <w:sz w:val="20"/>
          <w:szCs w:val="22"/>
        </w:rPr>
      </w:pPr>
    </w:p>
    <w:tbl>
      <w:tblPr>
        <w:tblStyle w:val="TableGrid"/>
        <w:tblW w:w="0" w:type="auto"/>
        <w:jc w:val="center"/>
        <w:tblLayout w:type="fixed"/>
        <w:tblLook w:val="04A0" w:firstRow="1" w:lastRow="0" w:firstColumn="1" w:lastColumn="0" w:noHBand="0" w:noVBand="1"/>
      </w:tblPr>
      <w:tblGrid>
        <w:gridCol w:w="677"/>
        <w:gridCol w:w="677"/>
        <w:gridCol w:w="677"/>
        <w:gridCol w:w="677"/>
        <w:gridCol w:w="677"/>
        <w:gridCol w:w="677"/>
        <w:gridCol w:w="677"/>
      </w:tblGrid>
      <w:tr w:rsidR="00141F0D" w:rsidRPr="006E5089" w:rsidTr="00AB1FA9">
        <w:trPr>
          <w:jc w:val="center"/>
        </w:trPr>
        <w:tc>
          <w:tcPr>
            <w:tcW w:w="677" w:type="dxa"/>
            <w:gridSpan w:val="7"/>
            <w:tcBorders>
              <w:bottom w:val="single" w:sz="4" w:space="0" w:color="auto"/>
            </w:tcBorders>
            <w:shd w:val="clear" w:color="auto" w:fill="BFBFBF" w:themeFill="background1" w:themeFillShade="BF"/>
          </w:tcPr>
          <w:p w:rsidR="00141F0D" w:rsidRPr="006E5089" w:rsidRDefault="00141F0D" w:rsidP="00157E5D">
            <w:pPr>
              <w:autoSpaceDE w:val="0"/>
              <w:autoSpaceDN w:val="0"/>
              <w:adjustRightInd w:val="0"/>
              <w:jc w:val="center"/>
              <w:rPr>
                <w:b/>
                <w:sz w:val="16"/>
                <w:szCs w:val="22"/>
              </w:rPr>
            </w:pPr>
            <w:r w:rsidRPr="006E5089">
              <w:rPr>
                <w:b/>
                <w:sz w:val="16"/>
                <w:szCs w:val="22"/>
              </w:rPr>
              <w:t>NOVEMBER</w:t>
            </w:r>
          </w:p>
        </w:tc>
      </w:tr>
      <w:tr w:rsidR="00141F0D" w:rsidRPr="006E5089" w:rsidTr="00AB1FA9">
        <w:trPr>
          <w:jc w:val="center"/>
        </w:trPr>
        <w:tc>
          <w:tcPr>
            <w:tcW w:w="677" w:type="dxa"/>
            <w:shd w:val="clear" w:color="auto" w:fill="D9D9D9" w:themeFill="background1" w:themeFillShade="D9"/>
          </w:tcPr>
          <w:p w:rsidR="00141F0D" w:rsidRPr="006E5089" w:rsidRDefault="00141F0D" w:rsidP="00157E5D">
            <w:pPr>
              <w:autoSpaceDE w:val="0"/>
              <w:autoSpaceDN w:val="0"/>
              <w:adjustRightInd w:val="0"/>
              <w:jc w:val="center"/>
              <w:rPr>
                <w:b/>
                <w:sz w:val="16"/>
                <w:szCs w:val="22"/>
              </w:rPr>
            </w:pPr>
            <w:r w:rsidRPr="006E5089">
              <w:rPr>
                <w:b/>
                <w:sz w:val="16"/>
                <w:szCs w:val="22"/>
              </w:rPr>
              <w:t>Su</w:t>
            </w:r>
          </w:p>
        </w:tc>
        <w:tc>
          <w:tcPr>
            <w:tcW w:w="677" w:type="dxa"/>
            <w:shd w:val="clear" w:color="auto" w:fill="D9D9D9" w:themeFill="background1" w:themeFillShade="D9"/>
          </w:tcPr>
          <w:p w:rsidR="00141F0D" w:rsidRPr="006E5089" w:rsidRDefault="00141F0D" w:rsidP="00157E5D">
            <w:pPr>
              <w:autoSpaceDE w:val="0"/>
              <w:autoSpaceDN w:val="0"/>
              <w:adjustRightInd w:val="0"/>
              <w:jc w:val="center"/>
              <w:rPr>
                <w:b/>
                <w:sz w:val="16"/>
                <w:szCs w:val="22"/>
              </w:rPr>
            </w:pPr>
            <w:r w:rsidRPr="006E5089">
              <w:rPr>
                <w:b/>
                <w:sz w:val="16"/>
                <w:szCs w:val="22"/>
              </w:rPr>
              <w:t>Mo</w:t>
            </w:r>
          </w:p>
        </w:tc>
        <w:tc>
          <w:tcPr>
            <w:tcW w:w="677" w:type="dxa"/>
            <w:shd w:val="clear" w:color="auto" w:fill="D9D9D9" w:themeFill="background1" w:themeFillShade="D9"/>
          </w:tcPr>
          <w:p w:rsidR="00141F0D" w:rsidRPr="006E5089" w:rsidRDefault="00141F0D" w:rsidP="00157E5D">
            <w:pPr>
              <w:autoSpaceDE w:val="0"/>
              <w:autoSpaceDN w:val="0"/>
              <w:adjustRightInd w:val="0"/>
              <w:jc w:val="center"/>
              <w:rPr>
                <w:b/>
                <w:sz w:val="16"/>
                <w:szCs w:val="22"/>
              </w:rPr>
            </w:pPr>
            <w:r w:rsidRPr="006E5089">
              <w:rPr>
                <w:b/>
                <w:sz w:val="16"/>
                <w:szCs w:val="22"/>
              </w:rPr>
              <w:t>Tu</w:t>
            </w:r>
          </w:p>
        </w:tc>
        <w:tc>
          <w:tcPr>
            <w:tcW w:w="677" w:type="dxa"/>
            <w:shd w:val="clear" w:color="auto" w:fill="D9D9D9" w:themeFill="background1" w:themeFillShade="D9"/>
          </w:tcPr>
          <w:p w:rsidR="00141F0D" w:rsidRPr="006E5089" w:rsidRDefault="00141F0D" w:rsidP="00157E5D">
            <w:pPr>
              <w:autoSpaceDE w:val="0"/>
              <w:autoSpaceDN w:val="0"/>
              <w:adjustRightInd w:val="0"/>
              <w:jc w:val="center"/>
              <w:rPr>
                <w:b/>
                <w:sz w:val="16"/>
                <w:szCs w:val="22"/>
              </w:rPr>
            </w:pPr>
            <w:r w:rsidRPr="006E5089">
              <w:rPr>
                <w:b/>
                <w:sz w:val="16"/>
                <w:szCs w:val="22"/>
              </w:rPr>
              <w:t>We</w:t>
            </w:r>
          </w:p>
        </w:tc>
        <w:tc>
          <w:tcPr>
            <w:tcW w:w="677" w:type="dxa"/>
            <w:shd w:val="clear" w:color="auto" w:fill="D9D9D9" w:themeFill="background1" w:themeFillShade="D9"/>
          </w:tcPr>
          <w:p w:rsidR="00141F0D" w:rsidRPr="006E5089" w:rsidRDefault="00141F0D" w:rsidP="00157E5D">
            <w:pPr>
              <w:autoSpaceDE w:val="0"/>
              <w:autoSpaceDN w:val="0"/>
              <w:adjustRightInd w:val="0"/>
              <w:jc w:val="center"/>
              <w:rPr>
                <w:b/>
                <w:sz w:val="16"/>
                <w:szCs w:val="22"/>
              </w:rPr>
            </w:pPr>
            <w:r w:rsidRPr="006E5089">
              <w:rPr>
                <w:b/>
                <w:sz w:val="16"/>
                <w:szCs w:val="22"/>
              </w:rPr>
              <w:t>Th</w:t>
            </w:r>
          </w:p>
        </w:tc>
        <w:tc>
          <w:tcPr>
            <w:tcW w:w="677" w:type="dxa"/>
            <w:shd w:val="clear" w:color="auto" w:fill="D9D9D9" w:themeFill="background1" w:themeFillShade="D9"/>
          </w:tcPr>
          <w:p w:rsidR="00141F0D" w:rsidRPr="006E5089" w:rsidRDefault="00141F0D" w:rsidP="00157E5D">
            <w:pPr>
              <w:autoSpaceDE w:val="0"/>
              <w:autoSpaceDN w:val="0"/>
              <w:adjustRightInd w:val="0"/>
              <w:jc w:val="center"/>
              <w:rPr>
                <w:b/>
                <w:sz w:val="16"/>
                <w:szCs w:val="22"/>
              </w:rPr>
            </w:pPr>
            <w:r w:rsidRPr="006E5089">
              <w:rPr>
                <w:b/>
                <w:sz w:val="16"/>
                <w:szCs w:val="22"/>
              </w:rPr>
              <w:t>Fr</w:t>
            </w:r>
          </w:p>
        </w:tc>
        <w:tc>
          <w:tcPr>
            <w:tcW w:w="677" w:type="dxa"/>
            <w:shd w:val="clear" w:color="auto" w:fill="D9D9D9" w:themeFill="background1" w:themeFillShade="D9"/>
          </w:tcPr>
          <w:p w:rsidR="00141F0D" w:rsidRPr="006E5089" w:rsidRDefault="00141F0D" w:rsidP="00157E5D">
            <w:pPr>
              <w:autoSpaceDE w:val="0"/>
              <w:autoSpaceDN w:val="0"/>
              <w:adjustRightInd w:val="0"/>
              <w:jc w:val="center"/>
              <w:rPr>
                <w:b/>
                <w:sz w:val="16"/>
                <w:szCs w:val="22"/>
              </w:rPr>
            </w:pPr>
            <w:r w:rsidRPr="006E5089">
              <w:rPr>
                <w:b/>
                <w:sz w:val="16"/>
                <w:szCs w:val="22"/>
              </w:rPr>
              <w:t>Sa</w:t>
            </w:r>
          </w:p>
        </w:tc>
      </w:tr>
      <w:tr w:rsidR="00141F0D" w:rsidRPr="006E5089" w:rsidTr="00AB1FA9">
        <w:trPr>
          <w:jc w:val="center"/>
        </w:trPr>
        <w:tc>
          <w:tcPr>
            <w:tcW w:w="677" w:type="dxa"/>
          </w:tcPr>
          <w:p w:rsidR="00141F0D" w:rsidRPr="006E5089" w:rsidRDefault="00141F0D" w:rsidP="00157E5D">
            <w:pPr>
              <w:autoSpaceDE w:val="0"/>
              <w:autoSpaceDN w:val="0"/>
              <w:adjustRightInd w:val="0"/>
              <w:jc w:val="center"/>
              <w:rPr>
                <w:sz w:val="16"/>
                <w:szCs w:val="22"/>
              </w:rPr>
            </w:pPr>
          </w:p>
        </w:tc>
        <w:tc>
          <w:tcPr>
            <w:tcW w:w="677" w:type="dxa"/>
          </w:tcPr>
          <w:p w:rsidR="00141F0D" w:rsidRPr="006E5089" w:rsidRDefault="00141F0D" w:rsidP="00157E5D">
            <w:pPr>
              <w:autoSpaceDE w:val="0"/>
              <w:autoSpaceDN w:val="0"/>
              <w:adjustRightInd w:val="0"/>
              <w:jc w:val="center"/>
              <w:rPr>
                <w:sz w:val="16"/>
                <w:szCs w:val="22"/>
              </w:rPr>
            </w:pPr>
          </w:p>
        </w:tc>
        <w:tc>
          <w:tcPr>
            <w:tcW w:w="677" w:type="dxa"/>
          </w:tcPr>
          <w:p w:rsidR="00141F0D" w:rsidRPr="006E5089" w:rsidRDefault="00141F0D" w:rsidP="00157E5D">
            <w:pPr>
              <w:autoSpaceDE w:val="0"/>
              <w:autoSpaceDN w:val="0"/>
              <w:adjustRightInd w:val="0"/>
              <w:jc w:val="center"/>
              <w:rPr>
                <w:sz w:val="16"/>
                <w:szCs w:val="22"/>
              </w:rPr>
            </w:pPr>
          </w:p>
        </w:tc>
        <w:tc>
          <w:tcPr>
            <w:tcW w:w="677" w:type="dxa"/>
          </w:tcPr>
          <w:p w:rsidR="00141F0D" w:rsidRPr="006E5089" w:rsidRDefault="00141F0D" w:rsidP="00157E5D">
            <w:pPr>
              <w:autoSpaceDE w:val="0"/>
              <w:autoSpaceDN w:val="0"/>
              <w:adjustRightInd w:val="0"/>
              <w:jc w:val="center"/>
              <w:rPr>
                <w:sz w:val="16"/>
                <w:szCs w:val="22"/>
              </w:rPr>
            </w:pPr>
          </w:p>
        </w:tc>
        <w:tc>
          <w:tcPr>
            <w:tcW w:w="677" w:type="dxa"/>
          </w:tcPr>
          <w:p w:rsidR="00141F0D" w:rsidRPr="006E5089" w:rsidRDefault="00141F0D" w:rsidP="00157E5D">
            <w:pPr>
              <w:autoSpaceDE w:val="0"/>
              <w:autoSpaceDN w:val="0"/>
              <w:adjustRightInd w:val="0"/>
              <w:jc w:val="center"/>
              <w:rPr>
                <w:sz w:val="16"/>
                <w:szCs w:val="22"/>
              </w:rPr>
            </w:pPr>
          </w:p>
        </w:tc>
        <w:tc>
          <w:tcPr>
            <w:tcW w:w="677" w:type="dxa"/>
          </w:tcPr>
          <w:p w:rsidR="00141F0D" w:rsidRPr="006E5089" w:rsidRDefault="00141F0D" w:rsidP="00157E5D">
            <w:pPr>
              <w:autoSpaceDE w:val="0"/>
              <w:autoSpaceDN w:val="0"/>
              <w:adjustRightInd w:val="0"/>
              <w:jc w:val="center"/>
              <w:rPr>
                <w:sz w:val="16"/>
                <w:szCs w:val="22"/>
              </w:rPr>
            </w:pPr>
          </w:p>
        </w:tc>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1</w:t>
            </w:r>
          </w:p>
        </w:tc>
      </w:tr>
      <w:tr w:rsidR="00141F0D" w:rsidRPr="006E5089" w:rsidTr="00AB1FA9">
        <w:trPr>
          <w:jc w:val="center"/>
        </w:trPr>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2</w:t>
            </w:r>
          </w:p>
        </w:tc>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3</w:t>
            </w:r>
          </w:p>
        </w:tc>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4 H</w:t>
            </w:r>
          </w:p>
        </w:tc>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5</w:t>
            </w:r>
          </w:p>
        </w:tc>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6</w:t>
            </w:r>
          </w:p>
        </w:tc>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7</w:t>
            </w:r>
          </w:p>
        </w:tc>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8</w:t>
            </w:r>
          </w:p>
        </w:tc>
      </w:tr>
      <w:tr w:rsidR="00141F0D" w:rsidRPr="006E5089" w:rsidTr="00AB1FA9">
        <w:trPr>
          <w:jc w:val="center"/>
        </w:trPr>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9</w:t>
            </w:r>
          </w:p>
        </w:tc>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10</w:t>
            </w:r>
          </w:p>
        </w:tc>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11 H</w:t>
            </w:r>
          </w:p>
        </w:tc>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12</w:t>
            </w:r>
          </w:p>
        </w:tc>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13</w:t>
            </w:r>
          </w:p>
        </w:tc>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14</w:t>
            </w:r>
          </w:p>
        </w:tc>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15</w:t>
            </w:r>
          </w:p>
        </w:tc>
      </w:tr>
      <w:tr w:rsidR="00141F0D" w:rsidRPr="006E5089" w:rsidTr="00AB1FA9">
        <w:trPr>
          <w:jc w:val="center"/>
        </w:trPr>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16</w:t>
            </w:r>
          </w:p>
        </w:tc>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17</w:t>
            </w:r>
          </w:p>
        </w:tc>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18</w:t>
            </w:r>
          </w:p>
        </w:tc>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19</w:t>
            </w:r>
          </w:p>
        </w:tc>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20</w:t>
            </w:r>
          </w:p>
        </w:tc>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21</w:t>
            </w:r>
          </w:p>
        </w:tc>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22</w:t>
            </w:r>
          </w:p>
        </w:tc>
      </w:tr>
      <w:tr w:rsidR="00141F0D" w:rsidRPr="006E5089" w:rsidTr="00AB1FA9">
        <w:trPr>
          <w:jc w:val="center"/>
        </w:trPr>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23</w:t>
            </w:r>
          </w:p>
        </w:tc>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24</w:t>
            </w:r>
          </w:p>
        </w:tc>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25</w:t>
            </w:r>
          </w:p>
        </w:tc>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26</w:t>
            </w:r>
          </w:p>
        </w:tc>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27</w:t>
            </w:r>
          </w:p>
        </w:tc>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28</w:t>
            </w:r>
          </w:p>
        </w:tc>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29</w:t>
            </w:r>
          </w:p>
        </w:tc>
      </w:tr>
      <w:tr w:rsidR="00141F0D" w:rsidRPr="006E5089" w:rsidTr="00AB1FA9">
        <w:trPr>
          <w:jc w:val="center"/>
        </w:trPr>
        <w:tc>
          <w:tcPr>
            <w:tcW w:w="677" w:type="dxa"/>
          </w:tcPr>
          <w:p w:rsidR="00141F0D" w:rsidRPr="006E5089" w:rsidRDefault="000A3C2D" w:rsidP="00157E5D">
            <w:pPr>
              <w:autoSpaceDE w:val="0"/>
              <w:autoSpaceDN w:val="0"/>
              <w:adjustRightInd w:val="0"/>
              <w:jc w:val="center"/>
              <w:rPr>
                <w:sz w:val="16"/>
                <w:szCs w:val="22"/>
              </w:rPr>
            </w:pPr>
            <w:r w:rsidRPr="006E5089">
              <w:rPr>
                <w:sz w:val="16"/>
                <w:szCs w:val="22"/>
              </w:rPr>
              <w:t>3</w:t>
            </w:r>
            <w:r w:rsidR="00141F0D" w:rsidRPr="006E5089">
              <w:rPr>
                <w:sz w:val="16"/>
                <w:szCs w:val="22"/>
              </w:rPr>
              <w:t>0</w:t>
            </w:r>
          </w:p>
        </w:tc>
        <w:tc>
          <w:tcPr>
            <w:tcW w:w="677" w:type="dxa"/>
            <w:gridSpan w:val="6"/>
          </w:tcPr>
          <w:p w:rsidR="00141F0D" w:rsidRPr="006E5089" w:rsidRDefault="00141F0D" w:rsidP="00157E5D">
            <w:pPr>
              <w:autoSpaceDE w:val="0"/>
              <w:autoSpaceDN w:val="0"/>
              <w:adjustRightInd w:val="0"/>
              <w:jc w:val="center"/>
              <w:rPr>
                <w:sz w:val="16"/>
                <w:szCs w:val="22"/>
              </w:rPr>
            </w:pPr>
            <w:r w:rsidRPr="006E5089">
              <w:rPr>
                <w:sz w:val="16"/>
                <w:szCs w:val="22"/>
              </w:rPr>
              <w:t>4 – Election   11 – Veterans   27/28 - Thanksgiving</w:t>
            </w:r>
          </w:p>
        </w:tc>
      </w:tr>
    </w:tbl>
    <w:p w:rsidR="00141F0D" w:rsidRPr="006E5089" w:rsidRDefault="00141F0D" w:rsidP="00141F0D">
      <w:pPr>
        <w:pStyle w:val="HTMLPreformatted"/>
        <w:ind w:left="0" w:right="0"/>
        <w:rPr>
          <w:rFonts w:ascii="Times New Roman" w:hAnsi="Times New Roman" w:cs="Times New Roman"/>
          <w:sz w:val="16"/>
          <w:szCs w:val="22"/>
        </w:rPr>
      </w:pPr>
    </w:p>
    <w:tbl>
      <w:tblPr>
        <w:tblStyle w:val="TableGrid"/>
        <w:tblW w:w="0" w:type="auto"/>
        <w:jc w:val="center"/>
        <w:tblLayout w:type="fixed"/>
        <w:tblLook w:val="04A0" w:firstRow="1" w:lastRow="0" w:firstColumn="1" w:lastColumn="0" w:noHBand="0" w:noVBand="1"/>
      </w:tblPr>
      <w:tblGrid>
        <w:gridCol w:w="677"/>
        <w:gridCol w:w="677"/>
        <w:gridCol w:w="677"/>
        <w:gridCol w:w="677"/>
        <w:gridCol w:w="677"/>
        <w:gridCol w:w="677"/>
        <w:gridCol w:w="677"/>
      </w:tblGrid>
      <w:tr w:rsidR="00141F0D" w:rsidRPr="006E5089" w:rsidTr="000A3C2D">
        <w:trPr>
          <w:jc w:val="center"/>
        </w:trPr>
        <w:tc>
          <w:tcPr>
            <w:tcW w:w="677" w:type="dxa"/>
            <w:gridSpan w:val="7"/>
            <w:tcBorders>
              <w:bottom w:val="single" w:sz="4" w:space="0" w:color="auto"/>
            </w:tcBorders>
            <w:shd w:val="clear" w:color="auto" w:fill="BFBFBF" w:themeFill="background1" w:themeFillShade="BF"/>
          </w:tcPr>
          <w:p w:rsidR="00141F0D" w:rsidRPr="006E5089" w:rsidRDefault="00141F0D" w:rsidP="00157E5D">
            <w:pPr>
              <w:autoSpaceDE w:val="0"/>
              <w:autoSpaceDN w:val="0"/>
              <w:adjustRightInd w:val="0"/>
              <w:jc w:val="center"/>
              <w:rPr>
                <w:b/>
                <w:sz w:val="16"/>
                <w:szCs w:val="22"/>
              </w:rPr>
            </w:pPr>
            <w:r w:rsidRPr="006E5089">
              <w:rPr>
                <w:b/>
                <w:sz w:val="16"/>
                <w:szCs w:val="22"/>
              </w:rPr>
              <w:t>DECEMBER</w:t>
            </w:r>
          </w:p>
        </w:tc>
      </w:tr>
      <w:tr w:rsidR="00141F0D" w:rsidRPr="006E5089" w:rsidTr="000A3C2D">
        <w:trPr>
          <w:jc w:val="center"/>
        </w:trPr>
        <w:tc>
          <w:tcPr>
            <w:tcW w:w="677" w:type="dxa"/>
            <w:shd w:val="clear" w:color="auto" w:fill="D9D9D9" w:themeFill="background1" w:themeFillShade="D9"/>
          </w:tcPr>
          <w:p w:rsidR="00141F0D" w:rsidRPr="006E5089" w:rsidRDefault="00141F0D" w:rsidP="00157E5D">
            <w:pPr>
              <w:autoSpaceDE w:val="0"/>
              <w:autoSpaceDN w:val="0"/>
              <w:adjustRightInd w:val="0"/>
              <w:jc w:val="center"/>
              <w:rPr>
                <w:b/>
                <w:sz w:val="16"/>
                <w:szCs w:val="22"/>
              </w:rPr>
            </w:pPr>
            <w:r w:rsidRPr="006E5089">
              <w:rPr>
                <w:b/>
                <w:sz w:val="16"/>
                <w:szCs w:val="22"/>
              </w:rPr>
              <w:t>Su</w:t>
            </w:r>
          </w:p>
        </w:tc>
        <w:tc>
          <w:tcPr>
            <w:tcW w:w="677" w:type="dxa"/>
            <w:shd w:val="clear" w:color="auto" w:fill="D9D9D9" w:themeFill="background1" w:themeFillShade="D9"/>
          </w:tcPr>
          <w:p w:rsidR="00141F0D" w:rsidRPr="006E5089" w:rsidRDefault="00141F0D" w:rsidP="00157E5D">
            <w:pPr>
              <w:autoSpaceDE w:val="0"/>
              <w:autoSpaceDN w:val="0"/>
              <w:adjustRightInd w:val="0"/>
              <w:jc w:val="center"/>
              <w:rPr>
                <w:b/>
                <w:sz w:val="16"/>
                <w:szCs w:val="22"/>
              </w:rPr>
            </w:pPr>
            <w:r w:rsidRPr="006E5089">
              <w:rPr>
                <w:b/>
                <w:sz w:val="16"/>
                <w:szCs w:val="22"/>
              </w:rPr>
              <w:t>Mo</w:t>
            </w:r>
          </w:p>
        </w:tc>
        <w:tc>
          <w:tcPr>
            <w:tcW w:w="677" w:type="dxa"/>
            <w:shd w:val="clear" w:color="auto" w:fill="D9D9D9" w:themeFill="background1" w:themeFillShade="D9"/>
          </w:tcPr>
          <w:p w:rsidR="00141F0D" w:rsidRPr="006E5089" w:rsidRDefault="00141F0D" w:rsidP="00157E5D">
            <w:pPr>
              <w:autoSpaceDE w:val="0"/>
              <w:autoSpaceDN w:val="0"/>
              <w:adjustRightInd w:val="0"/>
              <w:jc w:val="center"/>
              <w:rPr>
                <w:b/>
                <w:sz w:val="16"/>
                <w:szCs w:val="22"/>
              </w:rPr>
            </w:pPr>
            <w:r w:rsidRPr="006E5089">
              <w:rPr>
                <w:b/>
                <w:sz w:val="16"/>
                <w:szCs w:val="22"/>
              </w:rPr>
              <w:t>Tu</w:t>
            </w:r>
          </w:p>
        </w:tc>
        <w:tc>
          <w:tcPr>
            <w:tcW w:w="677" w:type="dxa"/>
            <w:shd w:val="clear" w:color="auto" w:fill="D9D9D9" w:themeFill="background1" w:themeFillShade="D9"/>
          </w:tcPr>
          <w:p w:rsidR="00141F0D" w:rsidRPr="006E5089" w:rsidRDefault="00141F0D" w:rsidP="00157E5D">
            <w:pPr>
              <w:autoSpaceDE w:val="0"/>
              <w:autoSpaceDN w:val="0"/>
              <w:adjustRightInd w:val="0"/>
              <w:jc w:val="center"/>
              <w:rPr>
                <w:b/>
                <w:sz w:val="16"/>
                <w:szCs w:val="22"/>
              </w:rPr>
            </w:pPr>
            <w:r w:rsidRPr="006E5089">
              <w:rPr>
                <w:b/>
                <w:sz w:val="16"/>
                <w:szCs w:val="22"/>
              </w:rPr>
              <w:t>We</w:t>
            </w:r>
          </w:p>
        </w:tc>
        <w:tc>
          <w:tcPr>
            <w:tcW w:w="677" w:type="dxa"/>
            <w:shd w:val="clear" w:color="auto" w:fill="D9D9D9" w:themeFill="background1" w:themeFillShade="D9"/>
          </w:tcPr>
          <w:p w:rsidR="00141F0D" w:rsidRPr="006E5089" w:rsidRDefault="00141F0D" w:rsidP="00157E5D">
            <w:pPr>
              <w:autoSpaceDE w:val="0"/>
              <w:autoSpaceDN w:val="0"/>
              <w:adjustRightInd w:val="0"/>
              <w:jc w:val="center"/>
              <w:rPr>
                <w:b/>
                <w:sz w:val="16"/>
                <w:szCs w:val="22"/>
              </w:rPr>
            </w:pPr>
            <w:r w:rsidRPr="006E5089">
              <w:rPr>
                <w:b/>
                <w:sz w:val="16"/>
                <w:szCs w:val="22"/>
              </w:rPr>
              <w:t>Th</w:t>
            </w:r>
          </w:p>
        </w:tc>
        <w:tc>
          <w:tcPr>
            <w:tcW w:w="677" w:type="dxa"/>
            <w:shd w:val="clear" w:color="auto" w:fill="D9D9D9" w:themeFill="background1" w:themeFillShade="D9"/>
          </w:tcPr>
          <w:p w:rsidR="00141F0D" w:rsidRPr="006E5089" w:rsidRDefault="00141F0D" w:rsidP="00157E5D">
            <w:pPr>
              <w:autoSpaceDE w:val="0"/>
              <w:autoSpaceDN w:val="0"/>
              <w:adjustRightInd w:val="0"/>
              <w:jc w:val="center"/>
              <w:rPr>
                <w:b/>
                <w:sz w:val="16"/>
                <w:szCs w:val="22"/>
              </w:rPr>
            </w:pPr>
            <w:r w:rsidRPr="006E5089">
              <w:rPr>
                <w:b/>
                <w:sz w:val="16"/>
                <w:szCs w:val="22"/>
              </w:rPr>
              <w:t>Fr</w:t>
            </w:r>
          </w:p>
        </w:tc>
        <w:tc>
          <w:tcPr>
            <w:tcW w:w="677" w:type="dxa"/>
            <w:shd w:val="clear" w:color="auto" w:fill="D9D9D9" w:themeFill="background1" w:themeFillShade="D9"/>
          </w:tcPr>
          <w:p w:rsidR="00141F0D" w:rsidRPr="006E5089" w:rsidRDefault="00141F0D" w:rsidP="00157E5D">
            <w:pPr>
              <w:autoSpaceDE w:val="0"/>
              <w:autoSpaceDN w:val="0"/>
              <w:adjustRightInd w:val="0"/>
              <w:jc w:val="center"/>
              <w:rPr>
                <w:b/>
                <w:sz w:val="16"/>
                <w:szCs w:val="22"/>
              </w:rPr>
            </w:pPr>
            <w:r w:rsidRPr="006E5089">
              <w:rPr>
                <w:b/>
                <w:sz w:val="16"/>
                <w:szCs w:val="22"/>
              </w:rPr>
              <w:t>Sa</w:t>
            </w:r>
          </w:p>
        </w:tc>
      </w:tr>
      <w:tr w:rsidR="00141F0D" w:rsidRPr="006E5089" w:rsidTr="000A3C2D">
        <w:trPr>
          <w:jc w:val="center"/>
        </w:trPr>
        <w:tc>
          <w:tcPr>
            <w:tcW w:w="677" w:type="dxa"/>
          </w:tcPr>
          <w:p w:rsidR="00141F0D" w:rsidRPr="006E5089" w:rsidRDefault="00141F0D" w:rsidP="00157E5D">
            <w:pPr>
              <w:autoSpaceDE w:val="0"/>
              <w:autoSpaceDN w:val="0"/>
              <w:adjustRightInd w:val="0"/>
              <w:jc w:val="center"/>
              <w:rPr>
                <w:sz w:val="16"/>
                <w:szCs w:val="22"/>
              </w:rPr>
            </w:pPr>
          </w:p>
        </w:tc>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1</w:t>
            </w:r>
          </w:p>
        </w:tc>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2</w:t>
            </w:r>
          </w:p>
        </w:tc>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3</w:t>
            </w:r>
          </w:p>
        </w:tc>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4</w:t>
            </w:r>
          </w:p>
        </w:tc>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5</w:t>
            </w:r>
          </w:p>
        </w:tc>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6</w:t>
            </w:r>
          </w:p>
        </w:tc>
      </w:tr>
      <w:tr w:rsidR="00141F0D" w:rsidRPr="006E5089" w:rsidTr="000A3C2D">
        <w:trPr>
          <w:jc w:val="center"/>
        </w:trPr>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7</w:t>
            </w:r>
          </w:p>
        </w:tc>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8</w:t>
            </w:r>
          </w:p>
        </w:tc>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9</w:t>
            </w:r>
          </w:p>
        </w:tc>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10</w:t>
            </w:r>
          </w:p>
        </w:tc>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11</w:t>
            </w:r>
          </w:p>
        </w:tc>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12</w:t>
            </w:r>
          </w:p>
        </w:tc>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13</w:t>
            </w:r>
          </w:p>
        </w:tc>
      </w:tr>
      <w:tr w:rsidR="00141F0D" w:rsidRPr="006E5089" w:rsidTr="000A3C2D">
        <w:trPr>
          <w:jc w:val="center"/>
        </w:trPr>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14</w:t>
            </w:r>
          </w:p>
        </w:tc>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15</w:t>
            </w:r>
          </w:p>
        </w:tc>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16</w:t>
            </w:r>
          </w:p>
        </w:tc>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17</w:t>
            </w:r>
          </w:p>
        </w:tc>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18</w:t>
            </w:r>
          </w:p>
        </w:tc>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19</w:t>
            </w:r>
          </w:p>
        </w:tc>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20</w:t>
            </w:r>
          </w:p>
        </w:tc>
      </w:tr>
      <w:tr w:rsidR="00141F0D" w:rsidRPr="006E5089" w:rsidTr="000A3C2D">
        <w:trPr>
          <w:jc w:val="center"/>
        </w:trPr>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21</w:t>
            </w:r>
          </w:p>
        </w:tc>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22</w:t>
            </w:r>
          </w:p>
        </w:tc>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23</w:t>
            </w:r>
          </w:p>
        </w:tc>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24 H½</w:t>
            </w:r>
          </w:p>
        </w:tc>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25 H</w:t>
            </w:r>
          </w:p>
        </w:tc>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26</w:t>
            </w:r>
          </w:p>
        </w:tc>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27</w:t>
            </w:r>
          </w:p>
        </w:tc>
      </w:tr>
      <w:tr w:rsidR="00141F0D" w:rsidRPr="006E5089" w:rsidTr="000A3C2D">
        <w:trPr>
          <w:jc w:val="center"/>
        </w:trPr>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28</w:t>
            </w:r>
          </w:p>
        </w:tc>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29</w:t>
            </w:r>
          </w:p>
        </w:tc>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30</w:t>
            </w:r>
          </w:p>
        </w:tc>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31 H½</w:t>
            </w:r>
          </w:p>
        </w:tc>
        <w:tc>
          <w:tcPr>
            <w:tcW w:w="677" w:type="dxa"/>
          </w:tcPr>
          <w:p w:rsidR="00141F0D" w:rsidRPr="006E5089" w:rsidRDefault="00141F0D" w:rsidP="00157E5D">
            <w:pPr>
              <w:autoSpaceDE w:val="0"/>
              <w:autoSpaceDN w:val="0"/>
              <w:adjustRightInd w:val="0"/>
              <w:jc w:val="center"/>
              <w:rPr>
                <w:sz w:val="16"/>
                <w:szCs w:val="22"/>
              </w:rPr>
            </w:pPr>
          </w:p>
        </w:tc>
        <w:tc>
          <w:tcPr>
            <w:tcW w:w="677" w:type="dxa"/>
          </w:tcPr>
          <w:p w:rsidR="00141F0D" w:rsidRPr="006E5089" w:rsidRDefault="00141F0D" w:rsidP="00157E5D">
            <w:pPr>
              <w:autoSpaceDE w:val="0"/>
              <w:autoSpaceDN w:val="0"/>
              <w:adjustRightInd w:val="0"/>
              <w:jc w:val="center"/>
              <w:rPr>
                <w:sz w:val="16"/>
                <w:szCs w:val="22"/>
              </w:rPr>
            </w:pPr>
          </w:p>
        </w:tc>
        <w:tc>
          <w:tcPr>
            <w:tcW w:w="677" w:type="dxa"/>
          </w:tcPr>
          <w:p w:rsidR="00141F0D" w:rsidRPr="006E5089" w:rsidRDefault="00141F0D" w:rsidP="00157E5D">
            <w:pPr>
              <w:autoSpaceDE w:val="0"/>
              <w:autoSpaceDN w:val="0"/>
              <w:adjustRightInd w:val="0"/>
              <w:jc w:val="center"/>
              <w:rPr>
                <w:sz w:val="16"/>
                <w:szCs w:val="22"/>
              </w:rPr>
            </w:pPr>
          </w:p>
        </w:tc>
      </w:tr>
      <w:tr w:rsidR="00141F0D" w:rsidRPr="006E5089" w:rsidTr="000A3C2D">
        <w:trPr>
          <w:jc w:val="center"/>
        </w:trPr>
        <w:tc>
          <w:tcPr>
            <w:tcW w:w="677" w:type="dxa"/>
            <w:gridSpan w:val="7"/>
          </w:tcPr>
          <w:p w:rsidR="00141F0D" w:rsidRPr="006E5089" w:rsidRDefault="00141F0D" w:rsidP="00157E5D">
            <w:pPr>
              <w:autoSpaceDE w:val="0"/>
              <w:autoSpaceDN w:val="0"/>
              <w:adjustRightInd w:val="0"/>
              <w:jc w:val="center"/>
              <w:rPr>
                <w:sz w:val="16"/>
                <w:szCs w:val="22"/>
              </w:rPr>
            </w:pPr>
            <w:r w:rsidRPr="006E5089">
              <w:rPr>
                <w:sz w:val="16"/>
                <w:szCs w:val="22"/>
              </w:rPr>
              <w:t>24/25 – Christmas Eve/Day   31 – New Year’s Eve</w:t>
            </w:r>
          </w:p>
        </w:tc>
      </w:tr>
    </w:tbl>
    <w:p w:rsidR="00141F0D" w:rsidRPr="006E5089" w:rsidRDefault="00141F0D" w:rsidP="00141F0D">
      <w:pPr>
        <w:pStyle w:val="HTMLPreformatted"/>
        <w:ind w:left="0" w:right="0"/>
        <w:rPr>
          <w:rFonts w:ascii="Times New Roman" w:hAnsi="Times New Roman" w:cs="Times New Roman"/>
          <w:sz w:val="16"/>
          <w:szCs w:val="22"/>
        </w:rPr>
      </w:pPr>
    </w:p>
    <w:tbl>
      <w:tblPr>
        <w:tblStyle w:val="TableGrid"/>
        <w:tblW w:w="0" w:type="auto"/>
        <w:jc w:val="center"/>
        <w:tblLook w:val="04A0" w:firstRow="1" w:lastRow="0" w:firstColumn="1" w:lastColumn="0" w:noHBand="0" w:noVBand="1"/>
      </w:tblPr>
      <w:tblGrid>
        <w:gridCol w:w="677"/>
        <w:gridCol w:w="677"/>
        <w:gridCol w:w="677"/>
        <w:gridCol w:w="677"/>
        <w:gridCol w:w="677"/>
        <w:gridCol w:w="677"/>
        <w:gridCol w:w="677"/>
      </w:tblGrid>
      <w:tr w:rsidR="00141F0D" w:rsidRPr="006E5089" w:rsidTr="000A3C2D">
        <w:trPr>
          <w:jc w:val="center"/>
        </w:trPr>
        <w:tc>
          <w:tcPr>
            <w:tcW w:w="677" w:type="dxa"/>
            <w:gridSpan w:val="7"/>
            <w:tcBorders>
              <w:bottom w:val="single" w:sz="4" w:space="0" w:color="auto"/>
            </w:tcBorders>
            <w:shd w:val="clear" w:color="auto" w:fill="BFBFBF" w:themeFill="background1" w:themeFillShade="BF"/>
          </w:tcPr>
          <w:p w:rsidR="00141F0D" w:rsidRPr="006E5089" w:rsidRDefault="00141F0D" w:rsidP="00157E5D">
            <w:pPr>
              <w:autoSpaceDE w:val="0"/>
              <w:autoSpaceDN w:val="0"/>
              <w:adjustRightInd w:val="0"/>
              <w:jc w:val="center"/>
              <w:rPr>
                <w:b/>
                <w:sz w:val="16"/>
                <w:szCs w:val="22"/>
              </w:rPr>
            </w:pPr>
            <w:r w:rsidRPr="006E5089">
              <w:rPr>
                <w:b/>
                <w:sz w:val="16"/>
                <w:szCs w:val="22"/>
              </w:rPr>
              <w:t>JANUARY</w:t>
            </w:r>
          </w:p>
        </w:tc>
      </w:tr>
      <w:tr w:rsidR="00141F0D" w:rsidRPr="006E5089" w:rsidTr="000A3C2D">
        <w:trPr>
          <w:jc w:val="center"/>
        </w:trPr>
        <w:tc>
          <w:tcPr>
            <w:tcW w:w="677" w:type="dxa"/>
            <w:shd w:val="clear" w:color="auto" w:fill="D9D9D9" w:themeFill="background1" w:themeFillShade="D9"/>
          </w:tcPr>
          <w:p w:rsidR="00141F0D" w:rsidRPr="006E5089" w:rsidRDefault="00141F0D" w:rsidP="00157E5D">
            <w:pPr>
              <w:autoSpaceDE w:val="0"/>
              <w:autoSpaceDN w:val="0"/>
              <w:adjustRightInd w:val="0"/>
              <w:jc w:val="center"/>
              <w:rPr>
                <w:b/>
                <w:sz w:val="16"/>
                <w:szCs w:val="22"/>
              </w:rPr>
            </w:pPr>
            <w:r w:rsidRPr="006E5089">
              <w:rPr>
                <w:b/>
                <w:sz w:val="16"/>
                <w:szCs w:val="22"/>
              </w:rPr>
              <w:t>Su</w:t>
            </w:r>
          </w:p>
        </w:tc>
        <w:tc>
          <w:tcPr>
            <w:tcW w:w="677" w:type="dxa"/>
            <w:shd w:val="clear" w:color="auto" w:fill="D9D9D9" w:themeFill="background1" w:themeFillShade="D9"/>
          </w:tcPr>
          <w:p w:rsidR="00141F0D" w:rsidRPr="006E5089" w:rsidRDefault="00141F0D" w:rsidP="00157E5D">
            <w:pPr>
              <w:autoSpaceDE w:val="0"/>
              <w:autoSpaceDN w:val="0"/>
              <w:adjustRightInd w:val="0"/>
              <w:jc w:val="center"/>
              <w:rPr>
                <w:b/>
                <w:sz w:val="16"/>
                <w:szCs w:val="22"/>
              </w:rPr>
            </w:pPr>
            <w:r w:rsidRPr="006E5089">
              <w:rPr>
                <w:b/>
                <w:sz w:val="16"/>
                <w:szCs w:val="22"/>
              </w:rPr>
              <w:t>Mo</w:t>
            </w:r>
          </w:p>
        </w:tc>
        <w:tc>
          <w:tcPr>
            <w:tcW w:w="677" w:type="dxa"/>
            <w:shd w:val="clear" w:color="auto" w:fill="D9D9D9" w:themeFill="background1" w:themeFillShade="D9"/>
          </w:tcPr>
          <w:p w:rsidR="00141F0D" w:rsidRPr="006E5089" w:rsidRDefault="00141F0D" w:rsidP="00157E5D">
            <w:pPr>
              <w:autoSpaceDE w:val="0"/>
              <w:autoSpaceDN w:val="0"/>
              <w:adjustRightInd w:val="0"/>
              <w:jc w:val="center"/>
              <w:rPr>
                <w:b/>
                <w:sz w:val="16"/>
                <w:szCs w:val="22"/>
              </w:rPr>
            </w:pPr>
            <w:r w:rsidRPr="006E5089">
              <w:rPr>
                <w:b/>
                <w:sz w:val="16"/>
                <w:szCs w:val="22"/>
              </w:rPr>
              <w:t>Tu</w:t>
            </w:r>
          </w:p>
        </w:tc>
        <w:tc>
          <w:tcPr>
            <w:tcW w:w="677" w:type="dxa"/>
            <w:shd w:val="clear" w:color="auto" w:fill="D9D9D9" w:themeFill="background1" w:themeFillShade="D9"/>
          </w:tcPr>
          <w:p w:rsidR="00141F0D" w:rsidRPr="006E5089" w:rsidRDefault="00141F0D" w:rsidP="00157E5D">
            <w:pPr>
              <w:autoSpaceDE w:val="0"/>
              <w:autoSpaceDN w:val="0"/>
              <w:adjustRightInd w:val="0"/>
              <w:jc w:val="center"/>
              <w:rPr>
                <w:b/>
                <w:sz w:val="16"/>
                <w:szCs w:val="22"/>
              </w:rPr>
            </w:pPr>
            <w:r w:rsidRPr="006E5089">
              <w:rPr>
                <w:b/>
                <w:sz w:val="16"/>
                <w:szCs w:val="22"/>
              </w:rPr>
              <w:t>We</w:t>
            </w:r>
          </w:p>
        </w:tc>
        <w:tc>
          <w:tcPr>
            <w:tcW w:w="677" w:type="dxa"/>
            <w:shd w:val="clear" w:color="auto" w:fill="D9D9D9" w:themeFill="background1" w:themeFillShade="D9"/>
          </w:tcPr>
          <w:p w:rsidR="00141F0D" w:rsidRPr="006E5089" w:rsidRDefault="00141F0D" w:rsidP="00157E5D">
            <w:pPr>
              <w:autoSpaceDE w:val="0"/>
              <w:autoSpaceDN w:val="0"/>
              <w:adjustRightInd w:val="0"/>
              <w:jc w:val="center"/>
              <w:rPr>
                <w:b/>
                <w:sz w:val="16"/>
                <w:szCs w:val="22"/>
              </w:rPr>
            </w:pPr>
            <w:r w:rsidRPr="006E5089">
              <w:rPr>
                <w:b/>
                <w:sz w:val="16"/>
                <w:szCs w:val="22"/>
              </w:rPr>
              <w:t>Th</w:t>
            </w:r>
          </w:p>
        </w:tc>
        <w:tc>
          <w:tcPr>
            <w:tcW w:w="677" w:type="dxa"/>
            <w:shd w:val="clear" w:color="auto" w:fill="D9D9D9" w:themeFill="background1" w:themeFillShade="D9"/>
          </w:tcPr>
          <w:p w:rsidR="00141F0D" w:rsidRPr="006E5089" w:rsidRDefault="00141F0D" w:rsidP="00157E5D">
            <w:pPr>
              <w:autoSpaceDE w:val="0"/>
              <w:autoSpaceDN w:val="0"/>
              <w:adjustRightInd w:val="0"/>
              <w:jc w:val="center"/>
              <w:rPr>
                <w:b/>
                <w:sz w:val="16"/>
                <w:szCs w:val="22"/>
              </w:rPr>
            </w:pPr>
            <w:r w:rsidRPr="006E5089">
              <w:rPr>
                <w:b/>
                <w:sz w:val="16"/>
                <w:szCs w:val="22"/>
              </w:rPr>
              <w:t>Fr</w:t>
            </w:r>
          </w:p>
        </w:tc>
        <w:tc>
          <w:tcPr>
            <w:tcW w:w="677" w:type="dxa"/>
            <w:shd w:val="clear" w:color="auto" w:fill="D9D9D9" w:themeFill="background1" w:themeFillShade="D9"/>
          </w:tcPr>
          <w:p w:rsidR="00141F0D" w:rsidRPr="006E5089" w:rsidRDefault="00141F0D" w:rsidP="00157E5D">
            <w:pPr>
              <w:autoSpaceDE w:val="0"/>
              <w:autoSpaceDN w:val="0"/>
              <w:adjustRightInd w:val="0"/>
              <w:jc w:val="center"/>
              <w:rPr>
                <w:b/>
                <w:sz w:val="16"/>
                <w:szCs w:val="22"/>
              </w:rPr>
            </w:pPr>
            <w:r w:rsidRPr="006E5089">
              <w:rPr>
                <w:b/>
                <w:sz w:val="16"/>
                <w:szCs w:val="22"/>
              </w:rPr>
              <w:t>Sa</w:t>
            </w:r>
          </w:p>
        </w:tc>
      </w:tr>
      <w:tr w:rsidR="00141F0D" w:rsidRPr="006E5089" w:rsidTr="000A3C2D">
        <w:trPr>
          <w:jc w:val="center"/>
        </w:trPr>
        <w:tc>
          <w:tcPr>
            <w:tcW w:w="677" w:type="dxa"/>
          </w:tcPr>
          <w:p w:rsidR="00141F0D" w:rsidRPr="006E5089" w:rsidRDefault="00141F0D" w:rsidP="00157E5D">
            <w:pPr>
              <w:autoSpaceDE w:val="0"/>
              <w:autoSpaceDN w:val="0"/>
              <w:adjustRightInd w:val="0"/>
              <w:jc w:val="center"/>
              <w:rPr>
                <w:sz w:val="16"/>
                <w:szCs w:val="22"/>
              </w:rPr>
            </w:pPr>
          </w:p>
        </w:tc>
        <w:tc>
          <w:tcPr>
            <w:tcW w:w="677" w:type="dxa"/>
          </w:tcPr>
          <w:p w:rsidR="00141F0D" w:rsidRPr="006E5089" w:rsidRDefault="00141F0D" w:rsidP="00157E5D">
            <w:pPr>
              <w:autoSpaceDE w:val="0"/>
              <w:autoSpaceDN w:val="0"/>
              <w:adjustRightInd w:val="0"/>
              <w:jc w:val="center"/>
              <w:rPr>
                <w:sz w:val="16"/>
                <w:szCs w:val="22"/>
              </w:rPr>
            </w:pPr>
          </w:p>
        </w:tc>
        <w:tc>
          <w:tcPr>
            <w:tcW w:w="677" w:type="dxa"/>
          </w:tcPr>
          <w:p w:rsidR="00141F0D" w:rsidRPr="006E5089" w:rsidRDefault="00141F0D" w:rsidP="00157E5D">
            <w:pPr>
              <w:autoSpaceDE w:val="0"/>
              <w:autoSpaceDN w:val="0"/>
              <w:adjustRightInd w:val="0"/>
              <w:jc w:val="center"/>
              <w:rPr>
                <w:sz w:val="16"/>
                <w:szCs w:val="22"/>
              </w:rPr>
            </w:pPr>
          </w:p>
        </w:tc>
        <w:tc>
          <w:tcPr>
            <w:tcW w:w="677" w:type="dxa"/>
          </w:tcPr>
          <w:p w:rsidR="00141F0D" w:rsidRPr="006E5089" w:rsidRDefault="00141F0D" w:rsidP="00157E5D">
            <w:pPr>
              <w:autoSpaceDE w:val="0"/>
              <w:autoSpaceDN w:val="0"/>
              <w:adjustRightInd w:val="0"/>
              <w:jc w:val="center"/>
              <w:rPr>
                <w:sz w:val="16"/>
                <w:szCs w:val="22"/>
              </w:rPr>
            </w:pPr>
          </w:p>
        </w:tc>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1 H</w:t>
            </w:r>
          </w:p>
        </w:tc>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2</w:t>
            </w:r>
          </w:p>
        </w:tc>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3</w:t>
            </w:r>
          </w:p>
        </w:tc>
      </w:tr>
      <w:tr w:rsidR="00141F0D" w:rsidRPr="006E5089" w:rsidTr="000A3C2D">
        <w:trPr>
          <w:jc w:val="center"/>
        </w:trPr>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4</w:t>
            </w:r>
          </w:p>
        </w:tc>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5</w:t>
            </w:r>
          </w:p>
        </w:tc>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6</w:t>
            </w:r>
          </w:p>
        </w:tc>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7</w:t>
            </w:r>
          </w:p>
        </w:tc>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8</w:t>
            </w:r>
          </w:p>
        </w:tc>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9</w:t>
            </w:r>
          </w:p>
        </w:tc>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10</w:t>
            </w:r>
          </w:p>
        </w:tc>
      </w:tr>
      <w:tr w:rsidR="00141F0D" w:rsidRPr="006E5089" w:rsidTr="000A3C2D">
        <w:trPr>
          <w:jc w:val="center"/>
        </w:trPr>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11</w:t>
            </w:r>
          </w:p>
        </w:tc>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12</w:t>
            </w:r>
          </w:p>
        </w:tc>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13</w:t>
            </w:r>
          </w:p>
        </w:tc>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14</w:t>
            </w:r>
          </w:p>
        </w:tc>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15</w:t>
            </w:r>
          </w:p>
        </w:tc>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16</w:t>
            </w:r>
          </w:p>
        </w:tc>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17</w:t>
            </w:r>
          </w:p>
        </w:tc>
      </w:tr>
      <w:tr w:rsidR="00141F0D" w:rsidRPr="006E5089" w:rsidTr="000A3C2D">
        <w:trPr>
          <w:jc w:val="center"/>
        </w:trPr>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18</w:t>
            </w:r>
          </w:p>
        </w:tc>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19 H</w:t>
            </w:r>
          </w:p>
        </w:tc>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20</w:t>
            </w:r>
          </w:p>
        </w:tc>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21</w:t>
            </w:r>
          </w:p>
        </w:tc>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22</w:t>
            </w:r>
          </w:p>
        </w:tc>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23</w:t>
            </w:r>
          </w:p>
        </w:tc>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24</w:t>
            </w:r>
          </w:p>
        </w:tc>
      </w:tr>
      <w:tr w:rsidR="00141F0D" w:rsidRPr="006E5089" w:rsidTr="000A3C2D">
        <w:trPr>
          <w:jc w:val="center"/>
        </w:trPr>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25</w:t>
            </w:r>
          </w:p>
        </w:tc>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26</w:t>
            </w:r>
          </w:p>
        </w:tc>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27</w:t>
            </w:r>
          </w:p>
        </w:tc>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28</w:t>
            </w:r>
          </w:p>
        </w:tc>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29</w:t>
            </w:r>
          </w:p>
        </w:tc>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30</w:t>
            </w:r>
          </w:p>
        </w:tc>
        <w:tc>
          <w:tcPr>
            <w:tcW w:w="677" w:type="dxa"/>
          </w:tcPr>
          <w:p w:rsidR="00141F0D" w:rsidRPr="006E5089" w:rsidRDefault="00141F0D" w:rsidP="00157E5D">
            <w:pPr>
              <w:autoSpaceDE w:val="0"/>
              <w:autoSpaceDN w:val="0"/>
              <w:adjustRightInd w:val="0"/>
              <w:jc w:val="center"/>
              <w:rPr>
                <w:sz w:val="16"/>
                <w:szCs w:val="22"/>
              </w:rPr>
            </w:pPr>
            <w:r w:rsidRPr="006E5089">
              <w:rPr>
                <w:sz w:val="16"/>
                <w:szCs w:val="22"/>
              </w:rPr>
              <w:t>31</w:t>
            </w:r>
          </w:p>
        </w:tc>
      </w:tr>
      <w:tr w:rsidR="00141F0D" w:rsidRPr="006E5089" w:rsidTr="000A3C2D">
        <w:trPr>
          <w:jc w:val="center"/>
        </w:trPr>
        <w:tc>
          <w:tcPr>
            <w:tcW w:w="677" w:type="dxa"/>
            <w:gridSpan w:val="7"/>
          </w:tcPr>
          <w:p w:rsidR="00141F0D" w:rsidRPr="006E5089" w:rsidRDefault="00141F0D" w:rsidP="00157E5D">
            <w:pPr>
              <w:autoSpaceDE w:val="0"/>
              <w:autoSpaceDN w:val="0"/>
              <w:adjustRightInd w:val="0"/>
              <w:jc w:val="center"/>
              <w:rPr>
                <w:sz w:val="16"/>
                <w:szCs w:val="22"/>
              </w:rPr>
            </w:pPr>
            <w:r w:rsidRPr="006E5089">
              <w:rPr>
                <w:sz w:val="16"/>
                <w:szCs w:val="22"/>
              </w:rPr>
              <w:t>1 – New Year’s Day   19 – Martin Luther King</w:t>
            </w:r>
          </w:p>
        </w:tc>
      </w:tr>
    </w:tbl>
    <w:p w:rsidR="00141F0D" w:rsidRDefault="00141F0D" w:rsidP="00BD0ADA">
      <w:pPr>
        <w:autoSpaceDE w:val="0"/>
        <w:autoSpaceDN w:val="0"/>
        <w:adjustRightInd w:val="0"/>
        <w:rPr>
          <w:sz w:val="22"/>
        </w:rPr>
      </w:pPr>
    </w:p>
    <w:p w:rsidR="00BD0ADA" w:rsidRPr="009D32AA" w:rsidRDefault="00BD0ADA" w:rsidP="00D31C02">
      <w:pPr>
        <w:autoSpaceDE w:val="0"/>
        <w:autoSpaceDN w:val="0"/>
        <w:adjustRightInd w:val="0"/>
        <w:jc w:val="both"/>
        <w:rPr>
          <w:sz w:val="22"/>
          <w:szCs w:val="22"/>
        </w:rPr>
      </w:pPr>
      <w:r w:rsidRPr="006E5089">
        <w:rPr>
          <w:b/>
          <w:u w:val="single"/>
        </w:rPr>
        <w:t>SUBPART (a) – STATE DUTY:</w:t>
      </w:r>
      <w:r w:rsidRPr="006E5089">
        <w:rPr>
          <w:b/>
        </w:rPr>
        <w:t xml:space="preserve">  </w:t>
      </w:r>
      <w:r w:rsidR="006E5089" w:rsidRPr="009D32AA">
        <w:rPr>
          <w:sz w:val="22"/>
          <w:szCs w:val="22"/>
        </w:rPr>
        <w:t xml:space="preserve">The following examples assume that a </w:t>
      </w:r>
      <w:r w:rsidRPr="009D32AA">
        <w:rPr>
          <w:sz w:val="22"/>
          <w:szCs w:val="22"/>
        </w:rPr>
        <w:t xml:space="preserve">soldier is activated (for </w:t>
      </w:r>
      <w:r w:rsidR="000D3F1C" w:rsidRPr="009D32AA">
        <w:rPr>
          <w:sz w:val="22"/>
          <w:szCs w:val="22"/>
        </w:rPr>
        <w:t xml:space="preserve">45 </w:t>
      </w:r>
      <w:r w:rsidRPr="009D32AA">
        <w:rPr>
          <w:sz w:val="22"/>
          <w:szCs w:val="22"/>
        </w:rPr>
        <w:t xml:space="preserve">days) </w:t>
      </w:r>
      <w:r w:rsidR="0022051A" w:rsidRPr="009D32AA">
        <w:rPr>
          <w:sz w:val="22"/>
          <w:szCs w:val="22"/>
        </w:rPr>
        <w:t xml:space="preserve">on </w:t>
      </w:r>
      <w:r w:rsidRPr="009D32AA">
        <w:rPr>
          <w:sz w:val="22"/>
          <w:szCs w:val="22"/>
        </w:rPr>
        <w:t>Dec</w:t>
      </w:r>
      <w:r w:rsidR="0022051A" w:rsidRPr="009D32AA">
        <w:rPr>
          <w:sz w:val="22"/>
          <w:szCs w:val="22"/>
        </w:rPr>
        <w:t>ember</w:t>
      </w:r>
      <w:r w:rsidR="00AE48FB" w:rsidRPr="009D32AA">
        <w:rPr>
          <w:sz w:val="22"/>
          <w:szCs w:val="22"/>
        </w:rPr>
        <w:t xml:space="preserve"> 15,</w:t>
      </w:r>
      <w:r w:rsidRPr="009D32AA">
        <w:rPr>
          <w:sz w:val="22"/>
          <w:szCs w:val="22"/>
        </w:rPr>
        <w:t xml:space="preserve"> </w:t>
      </w:r>
      <w:r w:rsidR="00EE4A4E" w:rsidRPr="009D32AA">
        <w:rPr>
          <w:sz w:val="22"/>
          <w:szCs w:val="22"/>
        </w:rPr>
        <w:t>2</w:t>
      </w:r>
      <w:r w:rsidR="002970AA" w:rsidRPr="009D32AA">
        <w:rPr>
          <w:sz w:val="22"/>
          <w:szCs w:val="22"/>
        </w:rPr>
        <w:t>xx</w:t>
      </w:r>
      <w:r w:rsidR="009E0F8A" w:rsidRPr="009D32AA">
        <w:rPr>
          <w:sz w:val="22"/>
          <w:szCs w:val="22"/>
        </w:rPr>
        <w:t>x</w:t>
      </w:r>
      <w:r w:rsidR="0022051A" w:rsidRPr="009D32AA">
        <w:rPr>
          <w:sz w:val="22"/>
          <w:szCs w:val="22"/>
        </w:rPr>
        <w:t xml:space="preserve">, for </w:t>
      </w:r>
      <w:r w:rsidRPr="009D32AA">
        <w:rPr>
          <w:sz w:val="22"/>
          <w:szCs w:val="22"/>
        </w:rPr>
        <w:t xml:space="preserve">State </w:t>
      </w:r>
      <w:r w:rsidR="0022051A" w:rsidRPr="009D32AA">
        <w:rPr>
          <w:sz w:val="22"/>
          <w:szCs w:val="22"/>
        </w:rPr>
        <w:t>d</w:t>
      </w:r>
      <w:r w:rsidRPr="009D32AA">
        <w:rPr>
          <w:sz w:val="22"/>
          <w:szCs w:val="22"/>
        </w:rPr>
        <w:t>uty</w:t>
      </w:r>
      <w:r w:rsidR="0022051A" w:rsidRPr="009D32AA">
        <w:rPr>
          <w:sz w:val="22"/>
          <w:szCs w:val="22"/>
        </w:rPr>
        <w:t xml:space="preserve"> to participate in flood mitigation.</w:t>
      </w:r>
    </w:p>
    <w:p w:rsidR="00BD0ADA" w:rsidRPr="009D32AA" w:rsidRDefault="00BD0ADA" w:rsidP="00D31C02">
      <w:pPr>
        <w:autoSpaceDE w:val="0"/>
        <w:autoSpaceDN w:val="0"/>
        <w:adjustRightInd w:val="0"/>
        <w:jc w:val="both"/>
        <w:rPr>
          <w:sz w:val="22"/>
          <w:szCs w:val="22"/>
        </w:rPr>
      </w:pPr>
    </w:p>
    <w:p w:rsidR="006E5089" w:rsidRPr="009D32AA" w:rsidRDefault="006E5089" w:rsidP="00D31C02">
      <w:pPr>
        <w:autoSpaceDE w:val="0"/>
        <w:autoSpaceDN w:val="0"/>
        <w:adjustRightInd w:val="0"/>
        <w:jc w:val="both"/>
        <w:rPr>
          <w:sz w:val="22"/>
          <w:szCs w:val="22"/>
        </w:rPr>
      </w:pPr>
      <w:r w:rsidRPr="009D32AA">
        <w:rPr>
          <w:sz w:val="22"/>
          <w:szCs w:val="22"/>
        </w:rPr>
        <w:t>Example 1</w:t>
      </w:r>
    </w:p>
    <w:p w:rsidR="00D31C02" w:rsidRPr="009D32AA" w:rsidRDefault="00737252" w:rsidP="00D31C02">
      <w:pPr>
        <w:autoSpaceDE w:val="0"/>
        <w:autoSpaceDN w:val="0"/>
        <w:adjustRightInd w:val="0"/>
        <w:jc w:val="both"/>
        <w:rPr>
          <w:sz w:val="22"/>
          <w:szCs w:val="22"/>
        </w:rPr>
      </w:pPr>
      <w:r w:rsidRPr="009D32AA">
        <w:rPr>
          <w:sz w:val="22"/>
          <w:szCs w:val="22"/>
        </w:rPr>
        <w:t>The employee</w:t>
      </w:r>
      <w:r w:rsidR="00BD0ADA" w:rsidRPr="009D32AA">
        <w:rPr>
          <w:sz w:val="22"/>
          <w:szCs w:val="22"/>
        </w:rPr>
        <w:t xml:space="preserve"> uses </w:t>
      </w:r>
      <w:r w:rsidR="00430BE9" w:rsidRPr="009D32AA">
        <w:rPr>
          <w:sz w:val="22"/>
          <w:szCs w:val="22"/>
        </w:rPr>
        <w:t>1</w:t>
      </w:r>
      <w:r w:rsidR="00E841EF">
        <w:rPr>
          <w:sz w:val="22"/>
          <w:szCs w:val="22"/>
        </w:rPr>
        <w:t>1</w:t>
      </w:r>
      <w:r w:rsidR="00430BE9" w:rsidRPr="009D32AA">
        <w:rPr>
          <w:sz w:val="22"/>
          <w:szCs w:val="22"/>
        </w:rPr>
        <w:t xml:space="preserve"> </w:t>
      </w:r>
      <w:r w:rsidR="00BD0ADA" w:rsidRPr="009D32AA">
        <w:rPr>
          <w:sz w:val="22"/>
          <w:szCs w:val="22"/>
        </w:rPr>
        <w:t xml:space="preserve">days of </w:t>
      </w:r>
      <w:r w:rsidR="00AD2C17" w:rsidRPr="009D32AA">
        <w:rPr>
          <w:sz w:val="22"/>
          <w:szCs w:val="22"/>
        </w:rPr>
        <w:t>his or her</w:t>
      </w:r>
      <w:r w:rsidR="00BD0ADA" w:rsidRPr="009D32AA">
        <w:rPr>
          <w:sz w:val="22"/>
          <w:szCs w:val="22"/>
        </w:rPr>
        <w:t xml:space="preserve"> </w:t>
      </w:r>
      <w:r w:rsidR="00EE4A4E" w:rsidRPr="009D32AA">
        <w:rPr>
          <w:sz w:val="22"/>
          <w:szCs w:val="22"/>
        </w:rPr>
        <w:t>2</w:t>
      </w:r>
      <w:r w:rsidR="002970AA" w:rsidRPr="009D32AA">
        <w:rPr>
          <w:sz w:val="22"/>
          <w:szCs w:val="22"/>
        </w:rPr>
        <w:t>xxx</w:t>
      </w:r>
      <w:r w:rsidR="00BD0ADA" w:rsidRPr="009D32AA">
        <w:rPr>
          <w:sz w:val="22"/>
          <w:szCs w:val="22"/>
        </w:rPr>
        <w:t xml:space="preserve"> subpart (a) military leave allotment and does not exhaust </w:t>
      </w:r>
      <w:r w:rsidR="00156942" w:rsidRPr="009D32AA">
        <w:rPr>
          <w:sz w:val="22"/>
          <w:szCs w:val="22"/>
        </w:rPr>
        <w:t>the</w:t>
      </w:r>
      <w:r w:rsidR="00BD0ADA" w:rsidRPr="009D32AA">
        <w:rPr>
          <w:sz w:val="22"/>
          <w:szCs w:val="22"/>
        </w:rPr>
        <w:t xml:space="preserve"> </w:t>
      </w:r>
      <w:r w:rsidR="00085AAD" w:rsidRPr="009D32AA">
        <w:rPr>
          <w:sz w:val="22"/>
          <w:szCs w:val="22"/>
        </w:rPr>
        <w:t>S</w:t>
      </w:r>
      <w:r w:rsidR="00BD0ADA" w:rsidRPr="009D32AA">
        <w:rPr>
          <w:sz w:val="22"/>
          <w:szCs w:val="22"/>
        </w:rPr>
        <w:t xml:space="preserve">ubpart (a) days for calendar year </w:t>
      </w:r>
      <w:r w:rsidR="00EE4A4E" w:rsidRPr="009D32AA">
        <w:rPr>
          <w:sz w:val="22"/>
          <w:szCs w:val="22"/>
        </w:rPr>
        <w:t>2</w:t>
      </w:r>
      <w:r w:rsidR="002970AA" w:rsidRPr="009D32AA">
        <w:rPr>
          <w:sz w:val="22"/>
          <w:szCs w:val="22"/>
        </w:rPr>
        <w:t>xxx</w:t>
      </w:r>
      <w:r w:rsidR="00BD0ADA" w:rsidRPr="009D32AA">
        <w:rPr>
          <w:sz w:val="22"/>
          <w:szCs w:val="22"/>
        </w:rPr>
        <w:t xml:space="preserve">, however, they expire at the end of the day on </w:t>
      </w:r>
      <w:r w:rsidR="00156942" w:rsidRPr="009D32AA">
        <w:rPr>
          <w:sz w:val="22"/>
          <w:szCs w:val="22"/>
        </w:rPr>
        <w:t xml:space="preserve">December </w:t>
      </w:r>
      <w:r w:rsidR="002970AA" w:rsidRPr="009D32AA">
        <w:rPr>
          <w:sz w:val="22"/>
          <w:szCs w:val="22"/>
        </w:rPr>
        <w:t>31.</w:t>
      </w:r>
    </w:p>
    <w:p w:rsidR="00BD0ADA" w:rsidRPr="009D32AA" w:rsidRDefault="00BD0ADA" w:rsidP="00345E9F">
      <w:pPr>
        <w:numPr>
          <w:ilvl w:val="0"/>
          <w:numId w:val="1"/>
        </w:numPr>
        <w:autoSpaceDE w:val="0"/>
        <w:autoSpaceDN w:val="0"/>
        <w:adjustRightInd w:val="0"/>
        <w:ind w:hanging="180"/>
        <w:jc w:val="both"/>
        <w:rPr>
          <w:sz w:val="22"/>
          <w:szCs w:val="22"/>
        </w:rPr>
      </w:pPr>
      <w:r w:rsidRPr="009D32AA">
        <w:rPr>
          <w:sz w:val="22"/>
          <w:szCs w:val="22"/>
        </w:rPr>
        <w:t xml:space="preserve">Since </w:t>
      </w:r>
      <w:r w:rsidR="00737252" w:rsidRPr="009D32AA">
        <w:rPr>
          <w:sz w:val="22"/>
          <w:szCs w:val="22"/>
        </w:rPr>
        <w:t>the employee</w:t>
      </w:r>
      <w:r w:rsidRPr="009D32AA">
        <w:rPr>
          <w:sz w:val="22"/>
          <w:szCs w:val="22"/>
        </w:rPr>
        <w:t xml:space="preserve"> is still in active pay status at the close of business on December 31, </w:t>
      </w:r>
      <w:r w:rsidR="00EE4A4E" w:rsidRPr="009D32AA">
        <w:rPr>
          <w:sz w:val="22"/>
          <w:szCs w:val="22"/>
        </w:rPr>
        <w:t>2</w:t>
      </w:r>
      <w:r w:rsidR="002970AA" w:rsidRPr="009D32AA">
        <w:rPr>
          <w:sz w:val="22"/>
          <w:szCs w:val="22"/>
        </w:rPr>
        <w:t>xxx</w:t>
      </w:r>
      <w:r w:rsidRPr="009D32AA">
        <w:rPr>
          <w:sz w:val="22"/>
          <w:szCs w:val="22"/>
        </w:rPr>
        <w:t xml:space="preserve">, the </w:t>
      </w:r>
      <w:r w:rsidR="00845D46" w:rsidRPr="009D32AA">
        <w:rPr>
          <w:sz w:val="22"/>
          <w:szCs w:val="22"/>
        </w:rPr>
        <w:t xml:space="preserve">30-day </w:t>
      </w:r>
      <w:r w:rsidRPr="009D32AA">
        <w:rPr>
          <w:sz w:val="22"/>
          <w:szCs w:val="22"/>
        </w:rPr>
        <w:t xml:space="preserve">allotment of </w:t>
      </w:r>
      <w:r w:rsidR="00085AAD" w:rsidRPr="009D32AA">
        <w:rPr>
          <w:sz w:val="22"/>
          <w:szCs w:val="22"/>
        </w:rPr>
        <w:t>S</w:t>
      </w:r>
      <w:r w:rsidRPr="009D32AA">
        <w:rPr>
          <w:sz w:val="22"/>
          <w:szCs w:val="22"/>
        </w:rPr>
        <w:t xml:space="preserve">ubpart (a) military leave </w:t>
      </w:r>
      <w:r w:rsidR="002970AA" w:rsidRPr="009D32AA">
        <w:rPr>
          <w:sz w:val="22"/>
          <w:szCs w:val="22"/>
        </w:rPr>
        <w:t xml:space="preserve">for the following calendar year </w:t>
      </w:r>
      <w:r w:rsidRPr="009D32AA">
        <w:rPr>
          <w:sz w:val="22"/>
          <w:szCs w:val="22"/>
        </w:rPr>
        <w:t>may be credited and used.</w:t>
      </w:r>
    </w:p>
    <w:p w:rsidR="00A4079F" w:rsidRPr="009D32AA" w:rsidRDefault="00A4079F" w:rsidP="006E5089">
      <w:pPr>
        <w:autoSpaceDE w:val="0"/>
        <w:autoSpaceDN w:val="0"/>
        <w:adjustRightInd w:val="0"/>
        <w:jc w:val="both"/>
        <w:rPr>
          <w:sz w:val="22"/>
          <w:szCs w:val="22"/>
        </w:rPr>
      </w:pPr>
    </w:p>
    <w:p w:rsidR="006E5089" w:rsidRPr="009D32AA" w:rsidRDefault="006E5089" w:rsidP="006E5089">
      <w:pPr>
        <w:autoSpaceDE w:val="0"/>
        <w:autoSpaceDN w:val="0"/>
        <w:adjustRightInd w:val="0"/>
        <w:jc w:val="both"/>
        <w:rPr>
          <w:sz w:val="22"/>
          <w:szCs w:val="22"/>
        </w:rPr>
      </w:pPr>
      <w:r w:rsidRPr="009D32AA">
        <w:rPr>
          <w:sz w:val="22"/>
          <w:szCs w:val="22"/>
        </w:rPr>
        <w:t>Example 2</w:t>
      </w:r>
    </w:p>
    <w:p w:rsidR="00BD0ADA" w:rsidRPr="009D32AA" w:rsidRDefault="00737252" w:rsidP="00D31C02">
      <w:pPr>
        <w:autoSpaceDE w:val="0"/>
        <w:autoSpaceDN w:val="0"/>
        <w:adjustRightInd w:val="0"/>
        <w:jc w:val="both"/>
        <w:rPr>
          <w:sz w:val="22"/>
          <w:szCs w:val="22"/>
        </w:rPr>
      </w:pPr>
      <w:r w:rsidRPr="009D32AA">
        <w:rPr>
          <w:sz w:val="22"/>
          <w:szCs w:val="22"/>
        </w:rPr>
        <w:t>The employee</w:t>
      </w:r>
      <w:r w:rsidR="00BD0ADA" w:rsidRPr="009D32AA">
        <w:rPr>
          <w:sz w:val="22"/>
          <w:szCs w:val="22"/>
        </w:rPr>
        <w:t xml:space="preserve"> uses the 7 remaining days of </w:t>
      </w:r>
      <w:r w:rsidR="00AD2C17" w:rsidRPr="009D32AA">
        <w:rPr>
          <w:sz w:val="22"/>
          <w:szCs w:val="22"/>
        </w:rPr>
        <w:t>his or her</w:t>
      </w:r>
      <w:r w:rsidR="00BD0ADA" w:rsidRPr="009D32AA">
        <w:rPr>
          <w:sz w:val="22"/>
          <w:szCs w:val="22"/>
        </w:rPr>
        <w:t xml:space="preserve"> </w:t>
      </w:r>
      <w:r w:rsidR="00AD2C17" w:rsidRPr="009D32AA">
        <w:rPr>
          <w:sz w:val="22"/>
          <w:szCs w:val="22"/>
        </w:rPr>
        <w:t>2</w:t>
      </w:r>
      <w:r w:rsidR="002970AA" w:rsidRPr="009D32AA">
        <w:rPr>
          <w:sz w:val="22"/>
          <w:szCs w:val="22"/>
        </w:rPr>
        <w:t>xxx</w:t>
      </w:r>
      <w:r w:rsidR="00BD0ADA" w:rsidRPr="009D32AA">
        <w:rPr>
          <w:sz w:val="22"/>
          <w:szCs w:val="22"/>
        </w:rPr>
        <w:t xml:space="preserve"> </w:t>
      </w:r>
      <w:r w:rsidR="00085AAD" w:rsidRPr="009D32AA">
        <w:rPr>
          <w:sz w:val="22"/>
          <w:szCs w:val="22"/>
        </w:rPr>
        <w:t>S</w:t>
      </w:r>
      <w:r w:rsidR="00BD0ADA" w:rsidRPr="009D32AA">
        <w:rPr>
          <w:sz w:val="22"/>
          <w:szCs w:val="22"/>
        </w:rPr>
        <w:t>ubpart (a) military leave allotment and is removed from the payroll at the close of business on December 23</w:t>
      </w:r>
      <w:r w:rsidR="00156942" w:rsidRPr="009D32AA">
        <w:rPr>
          <w:sz w:val="22"/>
          <w:szCs w:val="22"/>
        </w:rPr>
        <w:t xml:space="preserve">, </w:t>
      </w:r>
      <w:r w:rsidR="00EE4A4E" w:rsidRPr="009D32AA">
        <w:rPr>
          <w:sz w:val="22"/>
          <w:szCs w:val="22"/>
        </w:rPr>
        <w:t>2</w:t>
      </w:r>
      <w:r w:rsidR="002970AA" w:rsidRPr="009D32AA">
        <w:rPr>
          <w:sz w:val="22"/>
          <w:szCs w:val="22"/>
        </w:rPr>
        <w:t>xxx.</w:t>
      </w:r>
    </w:p>
    <w:p w:rsidR="00BD0ADA" w:rsidRPr="009D32AA" w:rsidRDefault="00BD0ADA" w:rsidP="00345E9F">
      <w:pPr>
        <w:numPr>
          <w:ilvl w:val="0"/>
          <w:numId w:val="1"/>
        </w:numPr>
        <w:autoSpaceDE w:val="0"/>
        <w:autoSpaceDN w:val="0"/>
        <w:adjustRightInd w:val="0"/>
        <w:ind w:hanging="180"/>
        <w:jc w:val="both"/>
        <w:rPr>
          <w:sz w:val="22"/>
          <w:szCs w:val="22"/>
        </w:rPr>
      </w:pPr>
      <w:r w:rsidRPr="009D32AA">
        <w:rPr>
          <w:sz w:val="22"/>
          <w:szCs w:val="22"/>
        </w:rPr>
        <w:t xml:space="preserve">Since </w:t>
      </w:r>
      <w:r w:rsidR="00737252" w:rsidRPr="009D32AA">
        <w:rPr>
          <w:sz w:val="22"/>
          <w:szCs w:val="22"/>
        </w:rPr>
        <w:t>the employee</w:t>
      </w:r>
      <w:r w:rsidRPr="009D32AA">
        <w:rPr>
          <w:sz w:val="22"/>
          <w:szCs w:val="22"/>
        </w:rPr>
        <w:t xml:space="preserve"> is not in active pay status at the close of business on December 31, </w:t>
      </w:r>
      <w:r w:rsidR="00EE4A4E" w:rsidRPr="009D32AA">
        <w:rPr>
          <w:sz w:val="22"/>
          <w:szCs w:val="22"/>
        </w:rPr>
        <w:t>2</w:t>
      </w:r>
      <w:r w:rsidR="002970AA" w:rsidRPr="009D32AA">
        <w:rPr>
          <w:sz w:val="22"/>
          <w:szCs w:val="22"/>
        </w:rPr>
        <w:t>xxx</w:t>
      </w:r>
      <w:r w:rsidRPr="009D32AA">
        <w:rPr>
          <w:sz w:val="22"/>
          <w:szCs w:val="22"/>
        </w:rPr>
        <w:t xml:space="preserve">, the allotment of </w:t>
      </w:r>
      <w:r w:rsidR="00085AAD" w:rsidRPr="009D32AA">
        <w:rPr>
          <w:sz w:val="22"/>
          <w:szCs w:val="22"/>
        </w:rPr>
        <w:t>S</w:t>
      </w:r>
      <w:r w:rsidRPr="009D32AA">
        <w:rPr>
          <w:sz w:val="22"/>
          <w:szCs w:val="22"/>
        </w:rPr>
        <w:t xml:space="preserve">ubpart (a) military leave </w:t>
      </w:r>
      <w:r w:rsidR="002970AA" w:rsidRPr="009D32AA">
        <w:rPr>
          <w:sz w:val="22"/>
          <w:szCs w:val="22"/>
        </w:rPr>
        <w:t>for the following calendar year</w:t>
      </w:r>
      <w:r w:rsidRPr="009D32AA">
        <w:rPr>
          <w:sz w:val="22"/>
          <w:szCs w:val="22"/>
        </w:rPr>
        <w:t xml:space="preserve"> may not be credited until the soldier is released from duty and returns to work</w:t>
      </w:r>
      <w:r w:rsidR="005A5C5E" w:rsidRPr="009D32AA">
        <w:rPr>
          <w:sz w:val="22"/>
          <w:szCs w:val="22"/>
        </w:rPr>
        <w:t xml:space="preserve"> or paid status</w:t>
      </w:r>
      <w:r w:rsidRPr="009D32AA">
        <w:rPr>
          <w:sz w:val="22"/>
          <w:szCs w:val="22"/>
        </w:rPr>
        <w:t xml:space="preserve">.  </w:t>
      </w:r>
    </w:p>
    <w:p w:rsidR="00BD0ADA" w:rsidRPr="009D32AA" w:rsidRDefault="00BD0ADA" w:rsidP="00D31C02">
      <w:pPr>
        <w:autoSpaceDE w:val="0"/>
        <w:autoSpaceDN w:val="0"/>
        <w:adjustRightInd w:val="0"/>
        <w:jc w:val="both"/>
        <w:rPr>
          <w:sz w:val="22"/>
          <w:szCs w:val="22"/>
        </w:rPr>
      </w:pPr>
    </w:p>
    <w:p w:rsidR="006E5089" w:rsidRPr="009D32AA" w:rsidRDefault="006E5089" w:rsidP="00D31C02">
      <w:pPr>
        <w:autoSpaceDE w:val="0"/>
        <w:autoSpaceDN w:val="0"/>
        <w:adjustRightInd w:val="0"/>
        <w:jc w:val="both"/>
        <w:rPr>
          <w:sz w:val="22"/>
          <w:szCs w:val="22"/>
        </w:rPr>
      </w:pPr>
      <w:r w:rsidRPr="009D32AA">
        <w:rPr>
          <w:sz w:val="22"/>
          <w:szCs w:val="22"/>
        </w:rPr>
        <w:t>Example 3</w:t>
      </w:r>
    </w:p>
    <w:p w:rsidR="00BD0ADA" w:rsidRPr="009D32AA" w:rsidRDefault="00737252" w:rsidP="00D31C02">
      <w:pPr>
        <w:autoSpaceDE w:val="0"/>
        <w:autoSpaceDN w:val="0"/>
        <w:adjustRightInd w:val="0"/>
        <w:jc w:val="both"/>
        <w:rPr>
          <w:sz w:val="22"/>
          <w:szCs w:val="22"/>
        </w:rPr>
      </w:pPr>
      <w:r w:rsidRPr="009D32AA">
        <w:rPr>
          <w:sz w:val="22"/>
          <w:szCs w:val="22"/>
        </w:rPr>
        <w:t>The employee</w:t>
      </w:r>
      <w:r w:rsidR="00BD0ADA" w:rsidRPr="009D32AA">
        <w:rPr>
          <w:sz w:val="22"/>
          <w:szCs w:val="22"/>
        </w:rPr>
        <w:t xml:space="preserve"> uses the 7 remaining days of </w:t>
      </w:r>
      <w:r w:rsidR="00AD2C17" w:rsidRPr="009D32AA">
        <w:rPr>
          <w:sz w:val="22"/>
          <w:szCs w:val="22"/>
        </w:rPr>
        <w:t>his or her</w:t>
      </w:r>
      <w:r w:rsidR="00BD0ADA" w:rsidRPr="009D32AA">
        <w:rPr>
          <w:sz w:val="22"/>
          <w:szCs w:val="22"/>
        </w:rPr>
        <w:t xml:space="preserve"> </w:t>
      </w:r>
      <w:r w:rsidR="00AD2C17" w:rsidRPr="009D32AA">
        <w:rPr>
          <w:sz w:val="22"/>
          <w:szCs w:val="22"/>
        </w:rPr>
        <w:t>2</w:t>
      </w:r>
      <w:r w:rsidR="002970AA" w:rsidRPr="009D32AA">
        <w:rPr>
          <w:sz w:val="22"/>
          <w:szCs w:val="22"/>
        </w:rPr>
        <w:t>xxx</w:t>
      </w:r>
      <w:r w:rsidR="00BD0ADA" w:rsidRPr="009D32AA">
        <w:rPr>
          <w:sz w:val="22"/>
          <w:szCs w:val="22"/>
        </w:rPr>
        <w:t xml:space="preserve"> </w:t>
      </w:r>
      <w:r w:rsidR="00085AAD" w:rsidRPr="009D32AA">
        <w:rPr>
          <w:sz w:val="22"/>
          <w:szCs w:val="22"/>
        </w:rPr>
        <w:t>S</w:t>
      </w:r>
      <w:r w:rsidR="00BD0ADA" w:rsidRPr="009D32AA">
        <w:rPr>
          <w:sz w:val="22"/>
          <w:szCs w:val="22"/>
        </w:rPr>
        <w:t xml:space="preserve">ubpart (a) military leave allotment and uses </w:t>
      </w:r>
      <w:r w:rsidR="00845D46" w:rsidRPr="009D32AA">
        <w:rPr>
          <w:sz w:val="22"/>
          <w:szCs w:val="22"/>
        </w:rPr>
        <w:t xml:space="preserve">4 days of </w:t>
      </w:r>
      <w:r w:rsidR="00BD0ADA" w:rsidRPr="009D32AA">
        <w:rPr>
          <w:sz w:val="22"/>
          <w:szCs w:val="22"/>
        </w:rPr>
        <w:t xml:space="preserve">accrued annual leave for December </w:t>
      </w:r>
      <w:r w:rsidR="00DF6F1E" w:rsidRPr="009D32AA">
        <w:rPr>
          <w:sz w:val="22"/>
          <w:szCs w:val="22"/>
        </w:rPr>
        <w:t>24-31</w:t>
      </w:r>
      <w:r w:rsidR="00156942" w:rsidRPr="009D32AA">
        <w:rPr>
          <w:sz w:val="22"/>
          <w:szCs w:val="22"/>
        </w:rPr>
        <w:t xml:space="preserve">, </w:t>
      </w:r>
      <w:r w:rsidR="00EE4A4E" w:rsidRPr="009D32AA">
        <w:rPr>
          <w:sz w:val="22"/>
          <w:szCs w:val="22"/>
        </w:rPr>
        <w:t>2</w:t>
      </w:r>
      <w:r w:rsidR="002970AA" w:rsidRPr="009D32AA">
        <w:rPr>
          <w:sz w:val="22"/>
          <w:szCs w:val="22"/>
        </w:rPr>
        <w:t>xxx</w:t>
      </w:r>
      <w:r w:rsidR="00156942" w:rsidRPr="009D32AA">
        <w:rPr>
          <w:sz w:val="22"/>
          <w:szCs w:val="22"/>
        </w:rPr>
        <w:t>.</w:t>
      </w:r>
    </w:p>
    <w:p w:rsidR="00BD0ADA" w:rsidRPr="009D32AA" w:rsidRDefault="00BD0ADA" w:rsidP="00345E9F">
      <w:pPr>
        <w:numPr>
          <w:ilvl w:val="0"/>
          <w:numId w:val="1"/>
        </w:numPr>
        <w:autoSpaceDE w:val="0"/>
        <w:autoSpaceDN w:val="0"/>
        <w:adjustRightInd w:val="0"/>
        <w:ind w:hanging="180"/>
        <w:jc w:val="both"/>
        <w:rPr>
          <w:sz w:val="22"/>
          <w:szCs w:val="22"/>
        </w:rPr>
      </w:pPr>
      <w:r w:rsidRPr="009D32AA">
        <w:rPr>
          <w:sz w:val="22"/>
          <w:szCs w:val="22"/>
        </w:rPr>
        <w:t xml:space="preserve">Since </w:t>
      </w:r>
      <w:r w:rsidR="00737252" w:rsidRPr="009D32AA">
        <w:rPr>
          <w:sz w:val="22"/>
          <w:szCs w:val="22"/>
        </w:rPr>
        <w:t>the employee</w:t>
      </w:r>
      <w:r w:rsidRPr="009D32AA">
        <w:rPr>
          <w:sz w:val="22"/>
          <w:szCs w:val="22"/>
        </w:rPr>
        <w:t xml:space="preserve"> is still in active pay status at the close of business on December 31, </w:t>
      </w:r>
      <w:r w:rsidR="00EE4A4E" w:rsidRPr="009D32AA">
        <w:rPr>
          <w:sz w:val="22"/>
          <w:szCs w:val="22"/>
        </w:rPr>
        <w:t>2</w:t>
      </w:r>
      <w:r w:rsidR="005A5C5E" w:rsidRPr="009D32AA">
        <w:rPr>
          <w:sz w:val="22"/>
          <w:szCs w:val="22"/>
        </w:rPr>
        <w:t>xxx</w:t>
      </w:r>
      <w:r w:rsidRPr="009D32AA">
        <w:rPr>
          <w:sz w:val="22"/>
          <w:szCs w:val="22"/>
        </w:rPr>
        <w:t>, the</w:t>
      </w:r>
      <w:r w:rsidR="00845D46" w:rsidRPr="009D32AA">
        <w:rPr>
          <w:sz w:val="22"/>
          <w:szCs w:val="22"/>
        </w:rPr>
        <w:t xml:space="preserve"> 30-day</w:t>
      </w:r>
      <w:r w:rsidRPr="009D32AA">
        <w:rPr>
          <w:sz w:val="22"/>
          <w:szCs w:val="22"/>
        </w:rPr>
        <w:t xml:space="preserve"> allotment of </w:t>
      </w:r>
      <w:r w:rsidR="00085AAD" w:rsidRPr="009D32AA">
        <w:rPr>
          <w:sz w:val="22"/>
          <w:szCs w:val="22"/>
        </w:rPr>
        <w:t>S</w:t>
      </w:r>
      <w:r w:rsidRPr="009D32AA">
        <w:rPr>
          <w:sz w:val="22"/>
          <w:szCs w:val="22"/>
        </w:rPr>
        <w:t xml:space="preserve">ubpart (a) military leave </w:t>
      </w:r>
      <w:r w:rsidR="005A5C5E" w:rsidRPr="009D32AA">
        <w:rPr>
          <w:sz w:val="22"/>
          <w:szCs w:val="22"/>
        </w:rPr>
        <w:t>for the following calendar year</w:t>
      </w:r>
      <w:r w:rsidRPr="009D32AA">
        <w:rPr>
          <w:sz w:val="22"/>
          <w:szCs w:val="22"/>
        </w:rPr>
        <w:t xml:space="preserve"> may be credited and used.    </w:t>
      </w:r>
    </w:p>
    <w:p w:rsidR="00BD0ADA" w:rsidRPr="009D32AA" w:rsidRDefault="00BD0ADA" w:rsidP="00D31C02">
      <w:pPr>
        <w:autoSpaceDE w:val="0"/>
        <w:autoSpaceDN w:val="0"/>
        <w:adjustRightInd w:val="0"/>
        <w:jc w:val="both"/>
        <w:rPr>
          <w:sz w:val="22"/>
          <w:szCs w:val="22"/>
        </w:rPr>
      </w:pPr>
    </w:p>
    <w:p w:rsidR="006E5089" w:rsidRPr="009D32AA" w:rsidRDefault="006E5089" w:rsidP="00D31C02">
      <w:pPr>
        <w:autoSpaceDE w:val="0"/>
        <w:autoSpaceDN w:val="0"/>
        <w:adjustRightInd w:val="0"/>
        <w:jc w:val="both"/>
        <w:rPr>
          <w:sz w:val="22"/>
          <w:szCs w:val="22"/>
        </w:rPr>
      </w:pPr>
      <w:r w:rsidRPr="009D32AA">
        <w:rPr>
          <w:sz w:val="22"/>
          <w:szCs w:val="22"/>
        </w:rPr>
        <w:t>Example 4</w:t>
      </w:r>
    </w:p>
    <w:p w:rsidR="00BD0ADA" w:rsidRPr="009D32AA" w:rsidRDefault="00737252" w:rsidP="00D31C02">
      <w:pPr>
        <w:autoSpaceDE w:val="0"/>
        <w:autoSpaceDN w:val="0"/>
        <w:adjustRightInd w:val="0"/>
        <w:jc w:val="both"/>
        <w:outlineLvl w:val="0"/>
        <w:rPr>
          <w:sz w:val="22"/>
          <w:szCs w:val="22"/>
        </w:rPr>
      </w:pPr>
      <w:r w:rsidRPr="009D32AA">
        <w:rPr>
          <w:sz w:val="22"/>
          <w:szCs w:val="22"/>
        </w:rPr>
        <w:t>The employee</w:t>
      </w:r>
      <w:r w:rsidR="00BD0ADA" w:rsidRPr="009D32AA">
        <w:rPr>
          <w:sz w:val="22"/>
          <w:szCs w:val="22"/>
        </w:rPr>
        <w:t xml:space="preserve"> uses the 7 remaining days of </w:t>
      </w:r>
      <w:r w:rsidR="00AD2C17" w:rsidRPr="009D32AA">
        <w:rPr>
          <w:sz w:val="22"/>
          <w:szCs w:val="22"/>
        </w:rPr>
        <w:t>his or her</w:t>
      </w:r>
      <w:r w:rsidR="00BD0ADA" w:rsidRPr="009D32AA">
        <w:rPr>
          <w:sz w:val="22"/>
          <w:szCs w:val="22"/>
        </w:rPr>
        <w:t xml:space="preserve"> </w:t>
      </w:r>
      <w:r w:rsidR="00EE4A4E" w:rsidRPr="009D32AA">
        <w:rPr>
          <w:sz w:val="22"/>
          <w:szCs w:val="22"/>
        </w:rPr>
        <w:t>2</w:t>
      </w:r>
      <w:r w:rsidR="005A5C5E" w:rsidRPr="009D32AA">
        <w:rPr>
          <w:sz w:val="22"/>
          <w:szCs w:val="22"/>
        </w:rPr>
        <w:t>xxx</w:t>
      </w:r>
      <w:r w:rsidR="00BD0ADA" w:rsidRPr="009D32AA">
        <w:rPr>
          <w:sz w:val="22"/>
          <w:szCs w:val="22"/>
        </w:rPr>
        <w:t xml:space="preserve"> Subpart (a) military leave allotment and is on a</w:t>
      </w:r>
      <w:r w:rsidR="00156942" w:rsidRPr="009D32AA">
        <w:rPr>
          <w:sz w:val="22"/>
          <w:szCs w:val="22"/>
        </w:rPr>
        <w:t>n</w:t>
      </w:r>
      <w:r w:rsidR="00BD0ADA" w:rsidRPr="009D32AA">
        <w:rPr>
          <w:sz w:val="22"/>
          <w:szCs w:val="22"/>
        </w:rPr>
        <w:t xml:space="preserve"> unpaid leave of absence for December </w:t>
      </w:r>
      <w:r w:rsidR="00BF062D" w:rsidRPr="009D32AA">
        <w:rPr>
          <w:sz w:val="22"/>
          <w:szCs w:val="22"/>
        </w:rPr>
        <w:t>24-30</w:t>
      </w:r>
      <w:r w:rsidR="00156942" w:rsidRPr="009D32AA">
        <w:rPr>
          <w:sz w:val="22"/>
          <w:szCs w:val="22"/>
        </w:rPr>
        <w:t xml:space="preserve">, </w:t>
      </w:r>
      <w:r w:rsidR="00EE4A4E" w:rsidRPr="009D32AA">
        <w:rPr>
          <w:sz w:val="22"/>
          <w:szCs w:val="22"/>
        </w:rPr>
        <w:t>2</w:t>
      </w:r>
      <w:r w:rsidR="005A5C5E" w:rsidRPr="009D32AA">
        <w:rPr>
          <w:sz w:val="22"/>
          <w:szCs w:val="22"/>
        </w:rPr>
        <w:t>xxx</w:t>
      </w:r>
      <w:r w:rsidR="00156942" w:rsidRPr="009D32AA">
        <w:rPr>
          <w:sz w:val="22"/>
          <w:szCs w:val="22"/>
        </w:rPr>
        <w:t>.</w:t>
      </w:r>
      <w:r w:rsidR="005A5C5E" w:rsidRPr="009D32AA">
        <w:rPr>
          <w:sz w:val="22"/>
          <w:szCs w:val="22"/>
        </w:rPr>
        <w:t xml:space="preserve">  </w:t>
      </w:r>
      <w:r w:rsidRPr="009D32AA">
        <w:rPr>
          <w:sz w:val="22"/>
          <w:szCs w:val="22"/>
        </w:rPr>
        <w:t>The employee</w:t>
      </w:r>
      <w:r w:rsidR="00BD0ADA" w:rsidRPr="009D32AA">
        <w:rPr>
          <w:sz w:val="22"/>
          <w:szCs w:val="22"/>
        </w:rPr>
        <w:t xml:space="preserve"> </w:t>
      </w:r>
      <w:r w:rsidR="00085AAD" w:rsidRPr="009D32AA">
        <w:rPr>
          <w:sz w:val="22"/>
          <w:szCs w:val="22"/>
        </w:rPr>
        <w:t xml:space="preserve">requests and is afforded </w:t>
      </w:r>
      <w:r w:rsidR="00BD0ADA" w:rsidRPr="009D32AA">
        <w:rPr>
          <w:sz w:val="22"/>
          <w:szCs w:val="22"/>
        </w:rPr>
        <w:t xml:space="preserve">(by using </w:t>
      </w:r>
      <w:r w:rsidR="00845D46" w:rsidRPr="009D32AA">
        <w:rPr>
          <w:sz w:val="22"/>
          <w:szCs w:val="22"/>
        </w:rPr>
        <w:t xml:space="preserve">4 hours of </w:t>
      </w:r>
      <w:r w:rsidR="00BD0ADA" w:rsidRPr="009D32AA">
        <w:rPr>
          <w:sz w:val="22"/>
          <w:szCs w:val="22"/>
        </w:rPr>
        <w:t xml:space="preserve">accrued annual leave) </w:t>
      </w:r>
      <w:r w:rsidR="00085AAD" w:rsidRPr="009D32AA">
        <w:rPr>
          <w:sz w:val="22"/>
          <w:szCs w:val="22"/>
        </w:rPr>
        <w:t xml:space="preserve">a return to the State payroll </w:t>
      </w:r>
      <w:r w:rsidR="00BD0ADA" w:rsidRPr="009D32AA">
        <w:rPr>
          <w:sz w:val="22"/>
          <w:szCs w:val="22"/>
        </w:rPr>
        <w:t xml:space="preserve">on </w:t>
      </w:r>
      <w:r w:rsidR="00156942" w:rsidRPr="009D32AA">
        <w:rPr>
          <w:sz w:val="22"/>
          <w:szCs w:val="22"/>
        </w:rPr>
        <w:t xml:space="preserve">December </w:t>
      </w:r>
      <w:r w:rsidR="00BF062D" w:rsidRPr="009D32AA">
        <w:rPr>
          <w:sz w:val="22"/>
          <w:szCs w:val="22"/>
        </w:rPr>
        <w:t>31</w:t>
      </w:r>
      <w:r w:rsidR="00156942" w:rsidRPr="009D32AA">
        <w:rPr>
          <w:sz w:val="22"/>
          <w:szCs w:val="22"/>
        </w:rPr>
        <w:t xml:space="preserve">, </w:t>
      </w:r>
      <w:r w:rsidR="00EE4A4E" w:rsidRPr="009D32AA">
        <w:rPr>
          <w:sz w:val="22"/>
          <w:szCs w:val="22"/>
        </w:rPr>
        <w:t>2</w:t>
      </w:r>
      <w:r w:rsidR="005A5C5E" w:rsidRPr="009D32AA">
        <w:rPr>
          <w:sz w:val="22"/>
          <w:szCs w:val="22"/>
        </w:rPr>
        <w:t>xxx</w:t>
      </w:r>
      <w:r w:rsidR="00BD0ADA" w:rsidRPr="009D32AA">
        <w:rPr>
          <w:sz w:val="22"/>
          <w:szCs w:val="22"/>
        </w:rPr>
        <w:t xml:space="preserve"> </w:t>
      </w:r>
      <w:r w:rsidR="00AE48FB" w:rsidRPr="009D32AA">
        <w:rPr>
          <w:sz w:val="22"/>
          <w:szCs w:val="22"/>
        </w:rPr>
        <w:t>(the last scheduled work day in the calendar year)</w:t>
      </w:r>
      <w:r w:rsidR="00156942" w:rsidRPr="009D32AA">
        <w:rPr>
          <w:sz w:val="22"/>
          <w:szCs w:val="22"/>
        </w:rPr>
        <w:t>.</w:t>
      </w:r>
      <w:r w:rsidR="00BD0ADA" w:rsidRPr="009D32AA">
        <w:rPr>
          <w:sz w:val="22"/>
          <w:szCs w:val="22"/>
        </w:rPr>
        <w:t xml:space="preserve">  </w:t>
      </w:r>
    </w:p>
    <w:p w:rsidR="006E5089" w:rsidRPr="009D32AA" w:rsidRDefault="00BD0ADA" w:rsidP="00345E9F">
      <w:pPr>
        <w:numPr>
          <w:ilvl w:val="0"/>
          <w:numId w:val="1"/>
        </w:numPr>
        <w:autoSpaceDE w:val="0"/>
        <w:autoSpaceDN w:val="0"/>
        <w:adjustRightInd w:val="0"/>
        <w:ind w:hanging="180"/>
        <w:jc w:val="both"/>
        <w:rPr>
          <w:sz w:val="22"/>
          <w:szCs w:val="22"/>
        </w:rPr>
      </w:pPr>
      <w:r w:rsidRPr="009D32AA">
        <w:rPr>
          <w:sz w:val="22"/>
          <w:szCs w:val="22"/>
        </w:rPr>
        <w:t xml:space="preserve">Since </w:t>
      </w:r>
      <w:r w:rsidR="00737252" w:rsidRPr="009D32AA">
        <w:rPr>
          <w:sz w:val="22"/>
          <w:szCs w:val="22"/>
        </w:rPr>
        <w:t>the employee</w:t>
      </w:r>
      <w:r w:rsidRPr="009D32AA">
        <w:rPr>
          <w:sz w:val="22"/>
          <w:szCs w:val="22"/>
        </w:rPr>
        <w:t xml:space="preserve"> is in active pay status at the close of business on December 31, </w:t>
      </w:r>
      <w:r w:rsidR="00EE4A4E" w:rsidRPr="009D32AA">
        <w:rPr>
          <w:sz w:val="22"/>
          <w:szCs w:val="22"/>
        </w:rPr>
        <w:t>2</w:t>
      </w:r>
      <w:r w:rsidR="005A5C5E" w:rsidRPr="009D32AA">
        <w:rPr>
          <w:sz w:val="22"/>
          <w:szCs w:val="22"/>
        </w:rPr>
        <w:t>xxx</w:t>
      </w:r>
      <w:r w:rsidRPr="009D32AA">
        <w:rPr>
          <w:sz w:val="22"/>
          <w:szCs w:val="22"/>
        </w:rPr>
        <w:t xml:space="preserve">, the </w:t>
      </w:r>
      <w:r w:rsidR="00845D46" w:rsidRPr="009D32AA">
        <w:rPr>
          <w:sz w:val="22"/>
          <w:szCs w:val="22"/>
        </w:rPr>
        <w:t xml:space="preserve">30-day </w:t>
      </w:r>
      <w:r w:rsidRPr="009D32AA">
        <w:rPr>
          <w:sz w:val="22"/>
          <w:szCs w:val="22"/>
        </w:rPr>
        <w:t xml:space="preserve">allotment of </w:t>
      </w:r>
      <w:r w:rsidR="00AE48FB" w:rsidRPr="009D32AA">
        <w:rPr>
          <w:sz w:val="22"/>
          <w:szCs w:val="22"/>
        </w:rPr>
        <w:t>S</w:t>
      </w:r>
      <w:r w:rsidRPr="009D32AA">
        <w:rPr>
          <w:sz w:val="22"/>
          <w:szCs w:val="22"/>
        </w:rPr>
        <w:t xml:space="preserve">ubpart (a) military leave </w:t>
      </w:r>
      <w:r w:rsidR="005A5C5E" w:rsidRPr="009D32AA">
        <w:rPr>
          <w:sz w:val="22"/>
          <w:szCs w:val="22"/>
        </w:rPr>
        <w:t>for the following calendar year</w:t>
      </w:r>
      <w:r w:rsidR="006E5089" w:rsidRPr="009D32AA">
        <w:rPr>
          <w:sz w:val="22"/>
          <w:szCs w:val="22"/>
        </w:rPr>
        <w:t xml:space="preserve"> may be credited and used.</w:t>
      </w:r>
    </w:p>
    <w:p w:rsidR="006E5089" w:rsidRPr="009D32AA" w:rsidRDefault="00BD0ADA" w:rsidP="00274ECB">
      <w:pPr>
        <w:autoSpaceDE w:val="0"/>
        <w:autoSpaceDN w:val="0"/>
        <w:adjustRightInd w:val="0"/>
        <w:jc w:val="both"/>
        <w:rPr>
          <w:sz w:val="22"/>
          <w:szCs w:val="22"/>
        </w:rPr>
      </w:pPr>
      <w:r w:rsidRPr="009D32AA">
        <w:rPr>
          <w:b/>
        </w:rPr>
        <w:lastRenderedPageBreak/>
        <w:t xml:space="preserve">SUBPART (b) – FEDERAL </w:t>
      </w:r>
      <w:r w:rsidR="003A3CDE" w:rsidRPr="009D32AA">
        <w:rPr>
          <w:b/>
        </w:rPr>
        <w:t xml:space="preserve">ACTIVE </w:t>
      </w:r>
      <w:r w:rsidRPr="009D32AA">
        <w:rPr>
          <w:b/>
        </w:rPr>
        <w:t>DUTY</w:t>
      </w:r>
      <w:r w:rsidR="00E66786" w:rsidRPr="009D32AA">
        <w:rPr>
          <w:b/>
        </w:rPr>
        <w:t>:</w:t>
      </w:r>
      <w:r w:rsidR="00E66786" w:rsidRPr="009D32AA">
        <w:t xml:space="preserve">  </w:t>
      </w:r>
      <w:r w:rsidR="006E5089" w:rsidRPr="009D32AA">
        <w:rPr>
          <w:sz w:val="22"/>
          <w:szCs w:val="22"/>
        </w:rPr>
        <w:t xml:space="preserve">The following examples assume that a </w:t>
      </w:r>
      <w:r w:rsidRPr="009D32AA">
        <w:rPr>
          <w:sz w:val="22"/>
          <w:szCs w:val="22"/>
        </w:rPr>
        <w:t xml:space="preserve">soldier is activated November </w:t>
      </w:r>
      <w:r w:rsidR="00CE5E64" w:rsidRPr="009D32AA">
        <w:rPr>
          <w:sz w:val="22"/>
          <w:szCs w:val="22"/>
        </w:rPr>
        <w:t>7</w:t>
      </w:r>
      <w:r w:rsidR="00156942" w:rsidRPr="009D32AA">
        <w:rPr>
          <w:sz w:val="22"/>
          <w:szCs w:val="22"/>
        </w:rPr>
        <w:t xml:space="preserve">, </w:t>
      </w:r>
      <w:r w:rsidR="00EE4A4E" w:rsidRPr="009D32AA">
        <w:rPr>
          <w:sz w:val="22"/>
          <w:szCs w:val="22"/>
        </w:rPr>
        <w:t>2</w:t>
      </w:r>
      <w:r w:rsidR="005A5C5E" w:rsidRPr="009D32AA">
        <w:rPr>
          <w:sz w:val="22"/>
          <w:szCs w:val="22"/>
        </w:rPr>
        <w:t>xxx</w:t>
      </w:r>
      <w:r w:rsidR="0022051A" w:rsidRPr="009D32AA">
        <w:rPr>
          <w:sz w:val="22"/>
          <w:szCs w:val="22"/>
        </w:rPr>
        <w:t>, for f</w:t>
      </w:r>
      <w:r w:rsidRPr="009D32AA">
        <w:rPr>
          <w:sz w:val="22"/>
          <w:szCs w:val="22"/>
        </w:rPr>
        <w:t xml:space="preserve">ederal </w:t>
      </w:r>
      <w:r w:rsidR="0022051A" w:rsidRPr="009D32AA">
        <w:rPr>
          <w:sz w:val="22"/>
          <w:szCs w:val="22"/>
        </w:rPr>
        <w:t>a</w:t>
      </w:r>
      <w:r w:rsidRPr="009D32AA">
        <w:rPr>
          <w:sz w:val="22"/>
          <w:szCs w:val="22"/>
        </w:rPr>
        <w:t xml:space="preserve">ctive </w:t>
      </w:r>
      <w:r w:rsidR="0022051A" w:rsidRPr="009D32AA">
        <w:rPr>
          <w:sz w:val="22"/>
          <w:szCs w:val="22"/>
        </w:rPr>
        <w:t>d</w:t>
      </w:r>
      <w:r w:rsidRPr="009D32AA">
        <w:rPr>
          <w:sz w:val="22"/>
          <w:szCs w:val="22"/>
        </w:rPr>
        <w:t>uty</w:t>
      </w:r>
      <w:r w:rsidR="00E66786" w:rsidRPr="009D32AA">
        <w:rPr>
          <w:sz w:val="22"/>
          <w:szCs w:val="22"/>
        </w:rPr>
        <w:t xml:space="preserve"> </w:t>
      </w:r>
      <w:r w:rsidR="005A5C5E" w:rsidRPr="009D32AA">
        <w:rPr>
          <w:sz w:val="22"/>
          <w:szCs w:val="22"/>
        </w:rPr>
        <w:t>for overseas deployment</w:t>
      </w:r>
      <w:r w:rsidRPr="009D32AA">
        <w:rPr>
          <w:sz w:val="22"/>
          <w:szCs w:val="22"/>
        </w:rPr>
        <w:t>.</w:t>
      </w:r>
    </w:p>
    <w:p w:rsidR="006E5089" w:rsidRPr="009D32AA" w:rsidRDefault="006E5089" w:rsidP="006E5089">
      <w:pPr>
        <w:autoSpaceDE w:val="0"/>
        <w:autoSpaceDN w:val="0"/>
        <w:adjustRightInd w:val="0"/>
        <w:outlineLvl w:val="0"/>
        <w:rPr>
          <w:sz w:val="22"/>
          <w:szCs w:val="22"/>
        </w:rPr>
      </w:pPr>
    </w:p>
    <w:p w:rsidR="006E5089" w:rsidRPr="009D32AA" w:rsidRDefault="006E5089" w:rsidP="006E5089">
      <w:pPr>
        <w:autoSpaceDE w:val="0"/>
        <w:autoSpaceDN w:val="0"/>
        <w:adjustRightInd w:val="0"/>
        <w:outlineLvl w:val="0"/>
        <w:rPr>
          <w:sz w:val="22"/>
          <w:szCs w:val="22"/>
        </w:rPr>
      </w:pPr>
      <w:r w:rsidRPr="009D32AA">
        <w:rPr>
          <w:sz w:val="22"/>
          <w:szCs w:val="22"/>
        </w:rPr>
        <w:t>Example 1</w:t>
      </w:r>
    </w:p>
    <w:p w:rsidR="00C24962" w:rsidRPr="009D32AA" w:rsidRDefault="00737252" w:rsidP="00D31C02">
      <w:pPr>
        <w:autoSpaceDE w:val="0"/>
        <w:autoSpaceDN w:val="0"/>
        <w:adjustRightInd w:val="0"/>
        <w:jc w:val="both"/>
        <w:rPr>
          <w:sz w:val="22"/>
          <w:szCs w:val="22"/>
        </w:rPr>
      </w:pPr>
      <w:r w:rsidRPr="009D32AA">
        <w:rPr>
          <w:sz w:val="22"/>
          <w:szCs w:val="22"/>
        </w:rPr>
        <w:t>The employee</w:t>
      </w:r>
      <w:r w:rsidR="00BD0ADA" w:rsidRPr="009D32AA">
        <w:rPr>
          <w:sz w:val="22"/>
          <w:szCs w:val="22"/>
        </w:rPr>
        <w:t xml:space="preserve"> uses the 15 days remaining of </w:t>
      </w:r>
      <w:r w:rsidR="00EE4A4E" w:rsidRPr="009D32AA">
        <w:rPr>
          <w:sz w:val="22"/>
          <w:szCs w:val="22"/>
        </w:rPr>
        <w:t>his or her</w:t>
      </w:r>
      <w:r w:rsidR="00BD0ADA" w:rsidRPr="009D32AA">
        <w:rPr>
          <w:sz w:val="22"/>
          <w:szCs w:val="22"/>
        </w:rPr>
        <w:t xml:space="preserve"> </w:t>
      </w:r>
      <w:r w:rsidR="00EE4A4E" w:rsidRPr="009D32AA">
        <w:rPr>
          <w:sz w:val="22"/>
          <w:szCs w:val="22"/>
        </w:rPr>
        <w:t>2</w:t>
      </w:r>
      <w:r w:rsidR="005A5C5E" w:rsidRPr="009D32AA">
        <w:rPr>
          <w:sz w:val="22"/>
          <w:szCs w:val="22"/>
        </w:rPr>
        <w:t>xxx</w:t>
      </w:r>
      <w:r w:rsidR="00BD0ADA" w:rsidRPr="009D32AA">
        <w:rPr>
          <w:sz w:val="22"/>
          <w:szCs w:val="22"/>
        </w:rPr>
        <w:t xml:space="preserve"> </w:t>
      </w:r>
      <w:r w:rsidR="00085AAD" w:rsidRPr="009D32AA">
        <w:rPr>
          <w:sz w:val="22"/>
          <w:szCs w:val="22"/>
        </w:rPr>
        <w:t>S</w:t>
      </w:r>
      <w:r w:rsidR="00BD0ADA" w:rsidRPr="009D32AA">
        <w:rPr>
          <w:sz w:val="22"/>
          <w:szCs w:val="22"/>
        </w:rPr>
        <w:t xml:space="preserve">ubpart (a) military leave allotment and uses </w:t>
      </w:r>
      <w:r w:rsidR="00B012C6" w:rsidRPr="009D32AA">
        <w:rPr>
          <w:sz w:val="22"/>
          <w:szCs w:val="22"/>
        </w:rPr>
        <w:t xml:space="preserve">30 </w:t>
      </w:r>
      <w:r w:rsidR="00BD0ADA" w:rsidRPr="009D32AA">
        <w:rPr>
          <w:sz w:val="22"/>
          <w:szCs w:val="22"/>
        </w:rPr>
        <w:t xml:space="preserve">days of </w:t>
      </w:r>
      <w:r w:rsidR="00085AAD" w:rsidRPr="009D32AA">
        <w:rPr>
          <w:sz w:val="22"/>
          <w:szCs w:val="22"/>
        </w:rPr>
        <w:t>S</w:t>
      </w:r>
      <w:r w:rsidR="00BD0ADA" w:rsidRPr="009D32AA">
        <w:rPr>
          <w:sz w:val="22"/>
          <w:szCs w:val="22"/>
        </w:rPr>
        <w:t xml:space="preserve">ubpart (b) military leave.  </w:t>
      </w:r>
      <w:r w:rsidR="00C24962" w:rsidRPr="009D32AA">
        <w:rPr>
          <w:sz w:val="22"/>
          <w:szCs w:val="22"/>
        </w:rPr>
        <w:t xml:space="preserve">The employee is removed from the payroll at the close of business on </w:t>
      </w:r>
      <w:r w:rsidR="00B012C6" w:rsidRPr="009D32AA">
        <w:rPr>
          <w:sz w:val="22"/>
          <w:szCs w:val="22"/>
        </w:rPr>
        <w:t xml:space="preserve">January </w:t>
      </w:r>
      <w:r w:rsidR="00E841EF">
        <w:rPr>
          <w:sz w:val="22"/>
          <w:szCs w:val="22"/>
        </w:rPr>
        <w:t>15</w:t>
      </w:r>
      <w:r w:rsidR="00156942" w:rsidRPr="009D32AA">
        <w:rPr>
          <w:sz w:val="22"/>
          <w:szCs w:val="22"/>
        </w:rPr>
        <w:t xml:space="preserve">, </w:t>
      </w:r>
      <w:r w:rsidR="00EE4A4E" w:rsidRPr="009D32AA">
        <w:rPr>
          <w:sz w:val="22"/>
          <w:szCs w:val="22"/>
        </w:rPr>
        <w:t>2</w:t>
      </w:r>
      <w:r w:rsidR="005A5C5E" w:rsidRPr="009D32AA">
        <w:rPr>
          <w:sz w:val="22"/>
          <w:szCs w:val="22"/>
        </w:rPr>
        <w:t>xxx the following year</w:t>
      </w:r>
      <w:r w:rsidR="00C24962" w:rsidRPr="009D32AA">
        <w:rPr>
          <w:sz w:val="22"/>
          <w:szCs w:val="22"/>
        </w:rPr>
        <w:t>.</w:t>
      </w:r>
    </w:p>
    <w:p w:rsidR="00BD0ADA" w:rsidRPr="009D32AA" w:rsidRDefault="00737252" w:rsidP="00345E9F">
      <w:pPr>
        <w:numPr>
          <w:ilvl w:val="0"/>
          <w:numId w:val="1"/>
        </w:numPr>
        <w:autoSpaceDE w:val="0"/>
        <w:autoSpaceDN w:val="0"/>
        <w:adjustRightInd w:val="0"/>
        <w:ind w:hanging="180"/>
        <w:jc w:val="both"/>
        <w:rPr>
          <w:sz w:val="22"/>
          <w:szCs w:val="22"/>
        </w:rPr>
      </w:pPr>
      <w:r w:rsidRPr="009D32AA">
        <w:rPr>
          <w:sz w:val="22"/>
          <w:szCs w:val="22"/>
        </w:rPr>
        <w:t>The employee</w:t>
      </w:r>
      <w:r w:rsidR="00BD0ADA" w:rsidRPr="009D32AA">
        <w:rPr>
          <w:sz w:val="22"/>
          <w:szCs w:val="22"/>
        </w:rPr>
        <w:t xml:space="preserve"> is </w:t>
      </w:r>
      <w:r w:rsidR="00085AAD" w:rsidRPr="009D32AA">
        <w:rPr>
          <w:sz w:val="22"/>
          <w:szCs w:val="22"/>
        </w:rPr>
        <w:t xml:space="preserve">not </w:t>
      </w:r>
      <w:r w:rsidR="003A3CDE" w:rsidRPr="009D32AA">
        <w:rPr>
          <w:sz w:val="22"/>
          <w:szCs w:val="22"/>
        </w:rPr>
        <w:t xml:space="preserve">eligible for the </w:t>
      </w:r>
      <w:r w:rsidR="005A5C5E" w:rsidRPr="009D32AA">
        <w:rPr>
          <w:sz w:val="22"/>
          <w:szCs w:val="22"/>
        </w:rPr>
        <w:t>new calendar year</w:t>
      </w:r>
      <w:r w:rsidR="003A3CDE" w:rsidRPr="009D32AA">
        <w:rPr>
          <w:sz w:val="22"/>
          <w:szCs w:val="22"/>
        </w:rPr>
        <w:t xml:space="preserve"> allotment of Subpart (a) or Subpart (b) military leave </w:t>
      </w:r>
      <w:r w:rsidR="00BD0ADA" w:rsidRPr="009D32AA">
        <w:rPr>
          <w:sz w:val="22"/>
          <w:szCs w:val="22"/>
        </w:rPr>
        <w:t xml:space="preserve">until the soldier is released from </w:t>
      </w:r>
      <w:r w:rsidR="003A3CDE" w:rsidRPr="009D32AA">
        <w:rPr>
          <w:sz w:val="22"/>
          <w:szCs w:val="22"/>
        </w:rPr>
        <w:t xml:space="preserve">federal </w:t>
      </w:r>
      <w:r w:rsidR="00BD0ADA" w:rsidRPr="009D32AA">
        <w:rPr>
          <w:sz w:val="22"/>
          <w:szCs w:val="22"/>
        </w:rPr>
        <w:t xml:space="preserve">active duty and returns to </w:t>
      </w:r>
      <w:r w:rsidR="005A5C5E" w:rsidRPr="009D32AA">
        <w:rPr>
          <w:sz w:val="22"/>
          <w:szCs w:val="22"/>
        </w:rPr>
        <w:t>work or paid status</w:t>
      </w:r>
      <w:r w:rsidR="00BD0ADA" w:rsidRPr="009D32AA">
        <w:rPr>
          <w:sz w:val="22"/>
          <w:szCs w:val="22"/>
        </w:rPr>
        <w:t>.</w:t>
      </w:r>
    </w:p>
    <w:p w:rsidR="00BD0ADA" w:rsidRPr="009D32AA" w:rsidRDefault="00BD0ADA" w:rsidP="00D31C02">
      <w:pPr>
        <w:autoSpaceDE w:val="0"/>
        <w:autoSpaceDN w:val="0"/>
        <w:adjustRightInd w:val="0"/>
        <w:jc w:val="both"/>
        <w:rPr>
          <w:sz w:val="22"/>
          <w:szCs w:val="22"/>
        </w:rPr>
      </w:pPr>
    </w:p>
    <w:p w:rsidR="006E5089" w:rsidRPr="009D32AA" w:rsidRDefault="006E5089" w:rsidP="00D31C02">
      <w:pPr>
        <w:autoSpaceDE w:val="0"/>
        <w:autoSpaceDN w:val="0"/>
        <w:adjustRightInd w:val="0"/>
        <w:jc w:val="both"/>
        <w:rPr>
          <w:sz w:val="22"/>
          <w:szCs w:val="22"/>
        </w:rPr>
      </w:pPr>
      <w:r w:rsidRPr="009D32AA">
        <w:rPr>
          <w:sz w:val="22"/>
          <w:szCs w:val="22"/>
        </w:rPr>
        <w:t>Example 2</w:t>
      </w:r>
    </w:p>
    <w:p w:rsidR="00BD0ADA" w:rsidRPr="009D32AA" w:rsidRDefault="00737252" w:rsidP="00D31C02">
      <w:pPr>
        <w:autoSpaceDE w:val="0"/>
        <w:autoSpaceDN w:val="0"/>
        <w:adjustRightInd w:val="0"/>
        <w:jc w:val="both"/>
        <w:rPr>
          <w:sz w:val="22"/>
          <w:szCs w:val="22"/>
        </w:rPr>
      </w:pPr>
      <w:r w:rsidRPr="009D32AA">
        <w:rPr>
          <w:sz w:val="22"/>
          <w:szCs w:val="22"/>
        </w:rPr>
        <w:t>The employee</w:t>
      </w:r>
      <w:r w:rsidR="00BD0ADA" w:rsidRPr="009D32AA">
        <w:rPr>
          <w:sz w:val="22"/>
          <w:szCs w:val="22"/>
        </w:rPr>
        <w:t xml:space="preserve"> uses the 5 days remaining of </w:t>
      </w:r>
      <w:r w:rsidR="00957922" w:rsidRPr="009D32AA">
        <w:rPr>
          <w:sz w:val="22"/>
          <w:szCs w:val="22"/>
        </w:rPr>
        <w:t>his or her</w:t>
      </w:r>
      <w:r w:rsidR="00BD0ADA" w:rsidRPr="009D32AA">
        <w:rPr>
          <w:sz w:val="22"/>
          <w:szCs w:val="22"/>
        </w:rPr>
        <w:t xml:space="preserve"> </w:t>
      </w:r>
      <w:r w:rsidR="00957922" w:rsidRPr="009D32AA">
        <w:rPr>
          <w:sz w:val="22"/>
          <w:szCs w:val="22"/>
        </w:rPr>
        <w:t>2</w:t>
      </w:r>
      <w:r w:rsidR="005A5C5E" w:rsidRPr="009D32AA">
        <w:rPr>
          <w:sz w:val="22"/>
          <w:szCs w:val="22"/>
        </w:rPr>
        <w:t>xxx</w:t>
      </w:r>
      <w:r w:rsidR="00BD0ADA" w:rsidRPr="009D32AA">
        <w:rPr>
          <w:sz w:val="22"/>
          <w:szCs w:val="22"/>
        </w:rPr>
        <w:t xml:space="preserve"> </w:t>
      </w:r>
      <w:r w:rsidR="003A3CDE" w:rsidRPr="009D32AA">
        <w:rPr>
          <w:sz w:val="22"/>
          <w:szCs w:val="22"/>
        </w:rPr>
        <w:t>S</w:t>
      </w:r>
      <w:r w:rsidR="00BD0ADA" w:rsidRPr="009D32AA">
        <w:rPr>
          <w:sz w:val="22"/>
          <w:szCs w:val="22"/>
        </w:rPr>
        <w:t xml:space="preserve">ubpart (a) military leave allotment and uses 30 days of </w:t>
      </w:r>
      <w:r w:rsidR="003A3CDE" w:rsidRPr="009D32AA">
        <w:rPr>
          <w:sz w:val="22"/>
          <w:szCs w:val="22"/>
        </w:rPr>
        <w:t>S</w:t>
      </w:r>
      <w:r w:rsidR="00BD0ADA" w:rsidRPr="009D32AA">
        <w:rPr>
          <w:sz w:val="22"/>
          <w:szCs w:val="22"/>
        </w:rPr>
        <w:t xml:space="preserve">ubpart (b) military leave.  The employee is removed from the payroll at the close of business on </w:t>
      </w:r>
      <w:r w:rsidR="00156942" w:rsidRPr="009D32AA">
        <w:rPr>
          <w:sz w:val="22"/>
          <w:szCs w:val="22"/>
        </w:rPr>
        <w:t xml:space="preserve">December </w:t>
      </w:r>
      <w:r w:rsidR="00027E60" w:rsidRPr="009D32AA">
        <w:rPr>
          <w:sz w:val="22"/>
          <w:szCs w:val="22"/>
        </w:rPr>
        <w:t>2</w:t>
      </w:r>
      <w:r w:rsidR="00E841EF">
        <w:rPr>
          <w:sz w:val="22"/>
          <w:szCs w:val="22"/>
        </w:rPr>
        <w:t>9</w:t>
      </w:r>
      <w:r w:rsidR="00156942" w:rsidRPr="009D32AA">
        <w:rPr>
          <w:sz w:val="22"/>
          <w:szCs w:val="22"/>
        </w:rPr>
        <w:t xml:space="preserve">, </w:t>
      </w:r>
      <w:r w:rsidR="00957922" w:rsidRPr="009D32AA">
        <w:rPr>
          <w:sz w:val="22"/>
          <w:szCs w:val="22"/>
        </w:rPr>
        <w:t>2</w:t>
      </w:r>
      <w:r w:rsidR="005A5C5E" w:rsidRPr="009D32AA">
        <w:rPr>
          <w:sz w:val="22"/>
          <w:szCs w:val="22"/>
        </w:rPr>
        <w:t>xxx</w:t>
      </w:r>
      <w:r w:rsidR="00E841EF">
        <w:rPr>
          <w:sz w:val="22"/>
          <w:szCs w:val="22"/>
        </w:rPr>
        <w:t>, at noon</w:t>
      </w:r>
      <w:r w:rsidR="00BD0ADA" w:rsidRPr="009D32AA">
        <w:rPr>
          <w:sz w:val="22"/>
          <w:szCs w:val="22"/>
        </w:rPr>
        <w:t xml:space="preserve">.  </w:t>
      </w:r>
    </w:p>
    <w:p w:rsidR="00BD0ADA" w:rsidRPr="009D32AA" w:rsidRDefault="00271006" w:rsidP="00345E9F">
      <w:pPr>
        <w:numPr>
          <w:ilvl w:val="0"/>
          <w:numId w:val="1"/>
        </w:numPr>
        <w:autoSpaceDE w:val="0"/>
        <w:autoSpaceDN w:val="0"/>
        <w:adjustRightInd w:val="0"/>
        <w:ind w:hanging="180"/>
        <w:jc w:val="both"/>
        <w:rPr>
          <w:sz w:val="22"/>
          <w:szCs w:val="22"/>
        </w:rPr>
      </w:pPr>
      <w:r w:rsidRPr="009D32AA">
        <w:rPr>
          <w:sz w:val="22"/>
          <w:szCs w:val="22"/>
        </w:rPr>
        <w:t>The employee</w:t>
      </w:r>
      <w:r w:rsidR="00BD0ADA" w:rsidRPr="009D32AA">
        <w:rPr>
          <w:sz w:val="22"/>
          <w:szCs w:val="22"/>
        </w:rPr>
        <w:t xml:space="preserve"> </w:t>
      </w:r>
      <w:r w:rsidR="003A3CDE" w:rsidRPr="009D32AA">
        <w:rPr>
          <w:sz w:val="22"/>
          <w:szCs w:val="22"/>
        </w:rPr>
        <w:t xml:space="preserve">is not eligible for the </w:t>
      </w:r>
      <w:r w:rsidR="005A5C5E" w:rsidRPr="009D32AA">
        <w:rPr>
          <w:sz w:val="22"/>
          <w:szCs w:val="22"/>
        </w:rPr>
        <w:t>following calendar year</w:t>
      </w:r>
      <w:r w:rsidR="003A3CDE" w:rsidRPr="009D32AA">
        <w:rPr>
          <w:sz w:val="22"/>
          <w:szCs w:val="22"/>
        </w:rPr>
        <w:t xml:space="preserve"> allotment of S</w:t>
      </w:r>
      <w:r w:rsidR="00BD0ADA" w:rsidRPr="009D32AA">
        <w:rPr>
          <w:sz w:val="22"/>
          <w:szCs w:val="22"/>
        </w:rPr>
        <w:t xml:space="preserve">ubpart (a) or </w:t>
      </w:r>
      <w:r w:rsidR="003A3CDE" w:rsidRPr="009D32AA">
        <w:rPr>
          <w:sz w:val="22"/>
          <w:szCs w:val="22"/>
        </w:rPr>
        <w:t>S</w:t>
      </w:r>
      <w:r w:rsidR="00BD0ADA" w:rsidRPr="009D32AA">
        <w:rPr>
          <w:sz w:val="22"/>
          <w:szCs w:val="22"/>
        </w:rPr>
        <w:t xml:space="preserve">ubpart (b) military leave until </w:t>
      </w:r>
      <w:r w:rsidR="003A3CDE" w:rsidRPr="009D32AA">
        <w:rPr>
          <w:sz w:val="22"/>
          <w:szCs w:val="22"/>
        </w:rPr>
        <w:t xml:space="preserve">the soldier is </w:t>
      </w:r>
      <w:r w:rsidR="00BD0ADA" w:rsidRPr="009D32AA">
        <w:rPr>
          <w:sz w:val="22"/>
          <w:szCs w:val="22"/>
        </w:rPr>
        <w:t xml:space="preserve">released from </w:t>
      </w:r>
      <w:r w:rsidR="003A3CDE" w:rsidRPr="009D32AA">
        <w:rPr>
          <w:sz w:val="22"/>
          <w:szCs w:val="22"/>
        </w:rPr>
        <w:t xml:space="preserve">federal </w:t>
      </w:r>
      <w:r w:rsidR="00BD0ADA" w:rsidRPr="009D32AA">
        <w:rPr>
          <w:sz w:val="22"/>
          <w:szCs w:val="22"/>
        </w:rPr>
        <w:t xml:space="preserve">active duty and returns to </w:t>
      </w:r>
      <w:r w:rsidR="005A5C5E" w:rsidRPr="009D32AA">
        <w:rPr>
          <w:sz w:val="22"/>
          <w:szCs w:val="22"/>
        </w:rPr>
        <w:t>work or paid status</w:t>
      </w:r>
      <w:r w:rsidR="00BD0ADA" w:rsidRPr="009D32AA">
        <w:rPr>
          <w:sz w:val="22"/>
          <w:szCs w:val="22"/>
        </w:rPr>
        <w:t>.</w:t>
      </w:r>
    </w:p>
    <w:p w:rsidR="00BD0ADA" w:rsidRPr="009D32AA" w:rsidRDefault="00BD0ADA" w:rsidP="00D31C02">
      <w:pPr>
        <w:autoSpaceDE w:val="0"/>
        <w:autoSpaceDN w:val="0"/>
        <w:adjustRightInd w:val="0"/>
        <w:jc w:val="both"/>
        <w:rPr>
          <w:sz w:val="22"/>
          <w:szCs w:val="22"/>
        </w:rPr>
      </w:pPr>
    </w:p>
    <w:p w:rsidR="006E5089" w:rsidRPr="009D32AA" w:rsidRDefault="006E5089" w:rsidP="00D31C02">
      <w:pPr>
        <w:autoSpaceDE w:val="0"/>
        <w:autoSpaceDN w:val="0"/>
        <w:adjustRightInd w:val="0"/>
        <w:jc w:val="both"/>
        <w:rPr>
          <w:sz w:val="22"/>
          <w:szCs w:val="22"/>
        </w:rPr>
      </w:pPr>
      <w:r w:rsidRPr="009D32AA">
        <w:rPr>
          <w:sz w:val="22"/>
          <w:szCs w:val="22"/>
        </w:rPr>
        <w:t>Example 3</w:t>
      </w:r>
    </w:p>
    <w:p w:rsidR="00BD0ADA" w:rsidRPr="009D32AA" w:rsidRDefault="00737252" w:rsidP="00D31C02">
      <w:pPr>
        <w:autoSpaceDE w:val="0"/>
        <w:autoSpaceDN w:val="0"/>
        <w:adjustRightInd w:val="0"/>
        <w:jc w:val="both"/>
        <w:rPr>
          <w:sz w:val="22"/>
          <w:szCs w:val="22"/>
        </w:rPr>
      </w:pPr>
      <w:r w:rsidRPr="009D32AA">
        <w:rPr>
          <w:sz w:val="22"/>
          <w:szCs w:val="22"/>
        </w:rPr>
        <w:t>The employee</w:t>
      </w:r>
      <w:r w:rsidR="00BD0ADA" w:rsidRPr="009D32AA">
        <w:rPr>
          <w:sz w:val="22"/>
          <w:szCs w:val="22"/>
        </w:rPr>
        <w:t xml:space="preserve"> uses the </w:t>
      </w:r>
      <w:r w:rsidR="00CE5E64" w:rsidRPr="009D32AA">
        <w:rPr>
          <w:sz w:val="22"/>
          <w:szCs w:val="22"/>
        </w:rPr>
        <w:t>5</w:t>
      </w:r>
      <w:r w:rsidR="00BD0ADA" w:rsidRPr="009D32AA">
        <w:rPr>
          <w:sz w:val="22"/>
          <w:szCs w:val="22"/>
        </w:rPr>
        <w:t xml:space="preserve"> day</w:t>
      </w:r>
      <w:r w:rsidR="00CE5E64" w:rsidRPr="009D32AA">
        <w:rPr>
          <w:sz w:val="22"/>
          <w:szCs w:val="22"/>
        </w:rPr>
        <w:t>s</w:t>
      </w:r>
      <w:r w:rsidR="00BD0ADA" w:rsidRPr="009D32AA">
        <w:rPr>
          <w:sz w:val="22"/>
          <w:szCs w:val="22"/>
        </w:rPr>
        <w:t xml:space="preserve"> remaining of </w:t>
      </w:r>
      <w:r w:rsidR="00AD2C17" w:rsidRPr="009D32AA">
        <w:rPr>
          <w:sz w:val="22"/>
          <w:szCs w:val="22"/>
        </w:rPr>
        <w:t>his or her</w:t>
      </w:r>
      <w:r w:rsidR="00BD0ADA" w:rsidRPr="009D32AA">
        <w:rPr>
          <w:sz w:val="22"/>
          <w:szCs w:val="22"/>
        </w:rPr>
        <w:t xml:space="preserve"> </w:t>
      </w:r>
      <w:r w:rsidR="001E7FA6" w:rsidRPr="009D32AA">
        <w:rPr>
          <w:sz w:val="22"/>
          <w:szCs w:val="22"/>
        </w:rPr>
        <w:t>2</w:t>
      </w:r>
      <w:r w:rsidR="005A5C5E" w:rsidRPr="009D32AA">
        <w:rPr>
          <w:sz w:val="22"/>
          <w:szCs w:val="22"/>
        </w:rPr>
        <w:t>xxx</w:t>
      </w:r>
      <w:r w:rsidR="003A3CDE" w:rsidRPr="009D32AA">
        <w:rPr>
          <w:sz w:val="22"/>
          <w:szCs w:val="22"/>
        </w:rPr>
        <w:t xml:space="preserve"> S</w:t>
      </w:r>
      <w:r w:rsidR="00BD0ADA" w:rsidRPr="009D32AA">
        <w:rPr>
          <w:sz w:val="22"/>
          <w:szCs w:val="22"/>
        </w:rPr>
        <w:t xml:space="preserve">ubpart (a) military leave allotment and uses </w:t>
      </w:r>
      <w:r w:rsidR="00C24962" w:rsidRPr="009D32AA">
        <w:rPr>
          <w:sz w:val="22"/>
          <w:szCs w:val="22"/>
        </w:rPr>
        <w:t>30</w:t>
      </w:r>
      <w:r w:rsidR="00BD0ADA" w:rsidRPr="009D32AA">
        <w:rPr>
          <w:sz w:val="22"/>
          <w:szCs w:val="22"/>
        </w:rPr>
        <w:t xml:space="preserve"> days of </w:t>
      </w:r>
      <w:r w:rsidR="003A3CDE" w:rsidRPr="009D32AA">
        <w:rPr>
          <w:sz w:val="22"/>
          <w:szCs w:val="22"/>
        </w:rPr>
        <w:t>S</w:t>
      </w:r>
      <w:r w:rsidR="00BD0ADA" w:rsidRPr="009D32AA">
        <w:rPr>
          <w:sz w:val="22"/>
          <w:szCs w:val="22"/>
        </w:rPr>
        <w:t xml:space="preserve">ubpart (b) military leave and </w:t>
      </w:r>
      <w:r w:rsidR="00E841EF">
        <w:rPr>
          <w:sz w:val="22"/>
          <w:szCs w:val="22"/>
        </w:rPr>
        <w:t>8</w:t>
      </w:r>
      <w:r w:rsidR="00027E60" w:rsidRPr="009D32AA">
        <w:rPr>
          <w:sz w:val="22"/>
          <w:szCs w:val="22"/>
        </w:rPr>
        <w:t xml:space="preserve"> </w:t>
      </w:r>
      <w:r w:rsidR="00BD0ADA" w:rsidRPr="009D32AA">
        <w:rPr>
          <w:sz w:val="22"/>
          <w:szCs w:val="22"/>
        </w:rPr>
        <w:t xml:space="preserve">days of accrued annual leave for </w:t>
      </w:r>
      <w:r w:rsidR="00156942" w:rsidRPr="009D32AA">
        <w:rPr>
          <w:sz w:val="22"/>
          <w:szCs w:val="22"/>
        </w:rPr>
        <w:t xml:space="preserve">December </w:t>
      </w:r>
      <w:r w:rsidR="00027E60" w:rsidRPr="009D32AA">
        <w:rPr>
          <w:sz w:val="22"/>
          <w:szCs w:val="22"/>
        </w:rPr>
        <w:t>2</w:t>
      </w:r>
      <w:r w:rsidR="00E841EF">
        <w:rPr>
          <w:sz w:val="22"/>
          <w:szCs w:val="22"/>
        </w:rPr>
        <w:t>9</w:t>
      </w:r>
      <w:r w:rsidR="00156942" w:rsidRPr="009D32AA">
        <w:rPr>
          <w:sz w:val="22"/>
          <w:szCs w:val="22"/>
        </w:rPr>
        <w:t xml:space="preserve">, </w:t>
      </w:r>
      <w:r w:rsidR="001E7FA6" w:rsidRPr="009D32AA">
        <w:rPr>
          <w:sz w:val="22"/>
          <w:szCs w:val="22"/>
        </w:rPr>
        <w:t>2</w:t>
      </w:r>
      <w:r w:rsidR="005A5C5E" w:rsidRPr="009D32AA">
        <w:rPr>
          <w:sz w:val="22"/>
          <w:szCs w:val="22"/>
        </w:rPr>
        <w:t>xxx</w:t>
      </w:r>
      <w:r w:rsidR="00E841EF">
        <w:rPr>
          <w:sz w:val="22"/>
          <w:szCs w:val="22"/>
        </w:rPr>
        <w:t>, at noon</w:t>
      </w:r>
      <w:r w:rsidR="00C24962" w:rsidRPr="009D32AA">
        <w:rPr>
          <w:sz w:val="22"/>
          <w:szCs w:val="22"/>
        </w:rPr>
        <w:t xml:space="preserve"> – </w:t>
      </w:r>
      <w:r w:rsidR="00156942" w:rsidRPr="009D32AA">
        <w:rPr>
          <w:sz w:val="22"/>
          <w:szCs w:val="22"/>
        </w:rPr>
        <w:t xml:space="preserve">January </w:t>
      </w:r>
      <w:r w:rsidR="00027E60" w:rsidRPr="009D32AA">
        <w:rPr>
          <w:sz w:val="22"/>
          <w:szCs w:val="22"/>
        </w:rPr>
        <w:t>8</w:t>
      </w:r>
      <w:r w:rsidR="00156942" w:rsidRPr="009D32AA">
        <w:rPr>
          <w:sz w:val="22"/>
          <w:szCs w:val="22"/>
        </w:rPr>
        <w:t xml:space="preserve">, </w:t>
      </w:r>
      <w:r w:rsidR="005A5C5E" w:rsidRPr="009D32AA">
        <w:rPr>
          <w:sz w:val="22"/>
          <w:szCs w:val="22"/>
        </w:rPr>
        <w:t>of the following calendar year</w:t>
      </w:r>
      <w:r w:rsidR="00156942" w:rsidRPr="009D32AA">
        <w:rPr>
          <w:sz w:val="22"/>
          <w:szCs w:val="22"/>
        </w:rPr>
        <w:t>.</w:t>
      </w:r>
      <w:r w:rsidR="00BD0ADA" w:rsidRPr="009D32AA">
        <w:rPr>
          <w:sz w:val="22"/>
          <w:szCs w:val="22"/>
        </w:rPr>
        <w:t xml:space="preserve"> </w:t>
      </w:r>
      <w:r w:rsidR="006F375D" w:rsidRPr="009D32AA">
        <w:rPr>
          <w:sz w:val="22"/>
          <w:szCs w:val="22"/>
        </w:rPr>
        <w:t xml:space="preserve"> </w:t>
      </w:r>
      <w:r w:rsidR="00C24962" w:rsidRPr="009D32AA">
        <w:rPr>
          <w:sz w:val="22"/>
          <w:szCs w:val="22"/>
        </w:rPr>
        <w:t xml:space="preserve">The employee is removed from the payroll at the close of business on January </w:t>
      </w:r>
      <w:r w:rsidR="00E841EF">
        <w:rPr>
          <w:sz w:val="22"/>
          <w:szCs w:val="22"/>
        </w:rPr>
        <w:t>9</w:t>
      </w:r>
      <w:r w:rsidR="00C24962" w:rsidRPr="009D32AA">
        <w:rPr>
          <w:sz w:val="22"/>
          <w:szCs w:val="22"/>
        </w:rPr>
        <w:t xml:space="preserve">. </w:t>
      </w:r>
      <w:r w:rsidR="00BD0ADA" w:rsidRPr="009D32AA">
        <w:rPr>
          <w:sz w:val="22"/>
          <w:szCs w:val="22"/>
        </w:rPr>
        <w:t xml:space="preserve"> </w:t>
      </w:r>
    </w:p>
    <w:p w:rsidR="00C8114A" w:rsidRPr="006E5089" w:rsidRDefault="00737252" w:rsidP="00345E9F">
      <w:pPr>
        <w:numPr>
          <w:ilvl w:val="0"/>
          <w:numId w:val="1"/>
        </w:numPr>
        <w:autoSpaceDE w:val="0"/>
        <w:autoSpaceDN w:val="0"/>
        <w:adjustRightInd w:val="0"/>
        <w:ind w:hanging="180"/>
        <w:jc w:val="both"/>
        <w:rPr>
          <w:sz w:val="22"/>
          <w:szCs w:val="22"/>
        </w:rPr>
      </w:pPr>
      <w:r w:rsidRPr="009D32AA">
        <w:rPr>
          <w:sz w:val="22"/>
          <w:szCs w:val="22"/>
        </w:rPr>
        <w:t>The employee</w:t>
      </w:r>
      <w:r w:rsidR="003A3CDE" w:rsidRPr="009D32AA">
        <w:rPr>
          <w:sz w:val="22"/>
          <w:szCs w:val="22"/>
        </w:rPr>
        <w:t xml:space="preserve"> is not e</w:t>
      </w:r>
      <w:r w:rsidR="003A3CDE" w:rsidRPr="006E5089">
        <w:rPr>
          <w:sz w:val="22"/>
          <w:szCs w:val="22"/>
        </w:rPr>
        <w:t xml:space="preserve">ligible for the </w:t>
      </w:r>
      <w:r w:rsidR="005A5C5E" w:rsidRPr="006E5089">
        <w:rPr>
          <w:sz w:val="22"/>
          <w:szCs w:val="22"/>
        </w:rPr>
        <w:t>new calendar year</w:t>
      </w:r>
      <w:r w:rsidR="003A3CDE" w:rsidRPr="006E5089">
        <w:rPr>
          <w:sz w:val="22"/>
          <w:szCs w:val="22"/>
        </w:rPr>
        <w:t xml:space="preserve"> allotment of Subpart (a) or Subpart (b) military leave until the soldier is </w:t>
      </w:r>
      <w:r w:rsidR="003A3CDE" w:rsidRPr="006E5089">
        <w:rPr>
          <w:sz w:val="22"/>
          <w:szCs w:val="22"/>
          <w:u w:val="single"/>
        </w:rPr>
        <w:t>released</w:t>
      </w:r>
      <w:r w:rsidR="003A3CDE" w:rsidRPr="006E5089">
        <w:rPr>
          <w:sz w:val="22"/>
          <w:szCs w:val="22"/>
        </w:rPr>
        <w:t xml:space="preserve"> from federal active duty and </w:t>
      </w:r>
      <w:r w:rsidR="003A3CDE" w:rsidRPr="006E5089">
        <w:rPr>
          <w:sz w:val="22"/>
          <w:szCs w:val="22"/>
          <w:u w:val="single"/>
        </w:rPr>
        <w:t>returns</w:t>
      </w:r>
      <w:r w:rsidR="003A3CDE" w:rsidRPr="006E5089">
        <w:rPr>
          <w:sz w:val="22"/>
          <w:szCs w:val="22"/>
        </w:rPr>
        <w:t xml:space="preserve"> to work</w:t>
      </w:r>
      <w:r w:rsidR="005A5C5E" w:rsidRPr="006E5089">
        <w:rPr>
          <w:sz w:val="22"/>
          <w:szCs w:val="22"/>
        </w:rPr>
        <w:t xml:space="preserve"> or paid status</w:t>
      </w:r>
      <w:r w:rsidR="00645F87" w:rsidRPr="006E5089">
        <w:rPr>
          <w:sz w:val="22"/>
          <w:szCs w:val="22"/>
        </w:rPr>
        <w:t xml:space="preserve"> since he or she is on federal active duty.</w:t>
      </w:r>
    </w:p>
    <w:p w:rsidR="00AB1FA9" w:rsidRPr="006E5089" w:rsidRDefault="00AB1FA9" w:rsidP="00AB1FA9">
      <w:pPr>
        <w:autoSpaceDE w:val="0"/>
        <w:autoSpaceDN w:val="0"/>
        <w:adjustRightInd w:val="0"/>
        <w:jc w:val="both"/>
        <w:rPr>
          <w:sz w:val="22"/>
          <w:szCs w:val="22"/>
        </w:rPr>
      </w:pPr>
    </w:p>
    <w:p w:rsidR="00AB1FA9" w:rsidRPr="006E5089" w:rsidRDefault="00AB1FA9" w:rsidP="00AB1FA9">
      <w:pPr>
        <w:autoSpaceDE w:val="0"/>
        <w:autoSpaceDN w:val="0"/>
        <w:adjustRightInd w:val="0"/>
        <w:jc w:val="both"/>
        <w:rPr>
          <w:sz w:val="22"/>
          <w:szCs w:val="22"/>
        </w:rPr>
      </w:pPr>
    </w:p>
    <w:p w:rsidR="00AB1FA9" w:rsidRPr="006E5089" w:rsidRDefault="00AB1FA9" w:rsidP="00AB1FA9">
      <w:pPr>
        <w:autoSpaceDE w:val="0"/>
        <w:autoSpaceDN w:val="0"/>
        <w:adjustRightInd w:val="0"/>
        <w:jc w:val="both"/>
        <w:rPr>
          <w:sz w:val="22"/>
          <w:szCs w:val="22"/>
        </w:rPr>
      </w:pPr>
    </w:p>
    <w:p w:rsidR="00AB1FA9" w:rsidRPr="006E5089" w:rsidRDefault="00AB1FA9" w:rsidP="00AB1FA9">
      <w:pPr>
        <w:autoSpaceDE w:val="0"/>
        <w:autoSpaceDN w:val="0"/>
        <w:adjustRightInd w:val="0"/>
        <w:jc w:val="both"/>
        <w:rPr>
          <w:sz w:val="22"/>
          <w:szCs w:val="22"/>
        </w:rPr>
      </w:pPr>
    </w:p>
    <w:p w:rsidR="00AB1FA9" w:rsidRPr="006E5089" w:rsidRDefault="00AB1FA9" w:rsidP="00AB1FA9">
      <w:pPr>
        <w:autoSpaceDE w:val="0"/>
        <w:autoSpaceDN w:val="0"/>
        <w:adjustRightInd w:val="0"/>
        <w:jc w:val="both"/>
        <w:rPr>
          <w:sz w:val="22"/>
          <w:szCs w:val="22"/>
        </w:rPr>
      </w:pPr>
    </w:p>
    <w:p w:rsidR="00AB1FA9" w:rsidRPr="006E5089" w:rsidRDefault="00AB1FA9" w:rsidP="00AB1FA9">
      <w:pPr>
        <w:autoSpaceDE w:val="0"/>
        <w:autoSpaceDN w:val="0"/>
        <w:adjustRightInd w:val="0"/>
        <w:jc w:val="both"/>
        <w:rPr>
          <w:sz w:val="22"/>
          <w:szCs w:val="22"/>
        </w:rPr>
      </w:pPr>
    </w:p>
    <w:p w:rsidR="00AB1FA9" w:rsidRPr="006E5089" w:rsidRDefault="00AB1FA9" w:rsidP="00AB1FA9">
      <w:pPr>
        <w:autoSpaceDE w:val="0"/>
        <w:autoSpaceDN w:val="0"/>
        <w:adjustRightInd w:val="0"/>
        <w:jc w:val="both"/>
        <w:rPr>
          <w:sz w:val="22"/>
          <w:szCs w:val="22"/>
        </w:rPr>
      </w:pPr>
    </w:p>
    <w:p w:rsidR="00AB1FA9" w:rsidRPr="006E5089" w:rsidRDefault="00AB1FA9" w:rsidP="00AB1FA9">
      <w:pPr>
        <w:autoSpaceDE w:val="0"/>
        <w:autoSpaceDN w:val="0"/>
        <w:adjustRightInd w:val="0"/>
        <w:jc w:val="both"/>
        <w:rPr>
          <w:sz w:val="22"/>
          <w:szCs w:val="22"/>
        </w:rPr>
      </w:pPr>
    </w:p>
    <w:p w:rsidR="00AB1FA9" w:rsidRPr="006E5089" w:rsidRDefault="00AB1FA9" w:rsidP="00AB1FA9">
      <w:pPr>
        <w:autoSpaceDE w:val="0"/>
        <w:autoSpaceDN w:val="0"/>
        <w:adjustRightInd w:val="0"/>
        <w:jc w:val="both"/>
        <w:rPr>
          <w:sz w:val="22"/>
          <w:szCs w:val="22"/>
        </w:rPr>
      </w:pPr>
    </w:p>
    <w:p w:rsidR="00AB1FA9" w:rsidRPr="006E5089" w:rsidRDefault="00AB1FA9" w:rsidP="00AB1FA9">
      <w:pPr>
        <w:autoSpaceDE w:val="0"/>
        <w:autoSpaceDN w:val="0"/>
        <w:adjustRightInd w:val="0"/>
        <w:jc w:val="both"/>
        <w:rPr>
          <w:sz w:val="22"/>
          <w:szCs w:val="22"/>
        </w:rPr>
      </w:pPr>
    </w:p>
    <w:p w:rsidR="00AB1FA9" w:rsidRPr="006E5089" w:rsidRDefault="00AB1FA9" w:rsidP="00AB1FA9">
      <w:pPr>
        <w:autoSpaceDE w:val="0"/>
        <w:autoSpaceDN w:val="0"/>
        <w:adjustRightInd w:val="0"/>
        <w:jc w:val="both"/>
        <w:rPr>
          <w:sz w:val="22"/>
          <w:szCs w:val="22"/>
        </w:rPr>
      </w:pPr>
    </w:p>
    <w:p w:rsidR="00AB1FA9" w:rsidRPr="006E5089" w:rsidRDefault="00AB1FA9" w:rsidP="00AB1FA9">
      <w:pPr>
        <w:autoSpaceDE w:val="0"/>
        <w:autoSpaceDN w:val="0"/>
        <w:adjustRightInd w:val="0"/>
        <w:jc w:val="both"/>
        <w:rPr>
          <w:sz w:val="22"/>
          <w:szCs w:val="22"/>
        </w:rPr>
      </w:pPr>
    </w:p>
    <w:p w:rsidR="00AB1FA9" w:rsidRPr="006E5089" w:rsidRDefault="00AB1FA9" w:rsidP="00AB1FA9">
      <w:pPr>
        <w:autoSpaceDE w:val="0"/>
        <w:autoSpaceDN w:val="0"/>
        <w:adjustRightInd w:val="0"/>
        <w:jc w:val="both"/>
        <w:rPr>
          <w:sz w:val="22"/>
          <w:szCs w:val="22"/>
        </w:rPr>
      </w:pPr>
    </w:p>
    <w:p w:rsidR="00AB1FA9" w:rsidRPr="006E5089" w:rsidRDefault="00AB1FA9" w:rsidP="00AB1FA9">
      <w:pPr>
        <w:autoSpaceDE w:val="0"/>
        <w:autoSpaceDN w:val="0"/>
        <w:adjustRightInd w:val="0"/>
        <w:jc w:val="both"/>
        <w:rPr>
          <w:sz w:val="22"/>
          <w:szCs w:val="22"/>
        </w:rPr>
      </w:pPr>
    </w:p>
    <w:p w:rsidR="00AB1FA9" w:rsidRPr="006E5089" w:rsidRDefault="00AB1FA9" w:rsidP="00AB1FA9">
      <w:pPr>
        <w:autoSpaceDE w:val="0"/>
        <w:autoSpaceDN w:val="0"/>
        <w:adjustRightInd w:val="0"/>
        <w:jc w:val="both"/>
        <w:rPr>
          <w:sz w:val="22"/>
          <w:szCs w:val="22"/>
        </w:rPr>
      </w:pPr>
    </w:p>
    <w:p w:rsidR="00AB1FA9" w:rsidRPr="006E5089" w:rsidRDefault="00AB1FA9" w:rsidP="00AB1FA9">
      <w:pPr>
        <w:autoSpaceDE w:val="0"/>
        <w:autoSpaceDN w:val="0"/>
        <w:adjustRightInd w:val="0"/>
        <w:jc w:val="both"/>
        <w:rPr>
          <w:sz w:val="22"/>
          <w:szCs w:val="22"/>
        </w:rPr>
      </w:pPr>
    </w:p>
    <w:p w:rsidR="00AB1FA9" w:rsidRPr="006E5089" w:rsidRDefault="00AB1FA9" w:rsidP="00AB1FA9">
      <w:pPr>
        <w:autoSpaceDE w:val="0"/>
        <w:autoSpaceDN w:val="0"/>
        <w:adjustRightInd w:val="0"/>
        <w:jc w:val="both"/>
        <w:rPr>
          <w:sz w:val="22"/>
          <w:szCs w:val="22"/>
        </w:rPr>
      </w:pPr>
    </w:p>
    <w:p w:rsidR="00AB1FA9" w:rsidRPr="006E5089" w:rsidRDefault="00AB1FA9" w:rsidP="00AB1FA9">
      <w:pPr>
        <w:autoSpaceDE w:val="0"/>
        <w:autoSpaceDN w:val="0"/>
        <w:adjustRightInd w:val="0"/>
        <w:jc w:val="both"/>
        <w:rPr>
          <w:sz w:val="22"/>
          <w:szCs w:val="22"/>
        </w:rPr>
      </w:pPr>
    </w:p>
    <w:p w:rsidR="00AB1FA9" w:rsidRPr="006E5089" w:rsidRDefault="00AB1FA9" w:rsidP="00AB1FA9">
      <w:pPr>
        <w:autoSpaceDE w:val="0"/>
        <w:autoSpaceDN w:val="0"/>
        <w:adjustRightInd w:val="0"/>
        <w:jc w:val="both"/>
        <w:rPr>
          <w:sz w:val="22"/>
          <w:szCs w:val="22"/>
        </w:rPr>
      </w:pPr>
    </w:p>
    <w:p w:rsidR="00AB1FA9" w:rsidRPr="006E5089" w:rsidRDefault="00AB1FA9" w:rsidP="00AB1FA9">
      <w:pPr>
        <w:autoSpaceDE w:val="0"/>
        <w:autoSpaceDN w:val="0"/>
        <w:adjustRightInd w:val="0"/>
        <w:jc w:val="both"/>
        <w:rPr>
          <w:sz w:val="22"/>
          <w:szCs w:val="22"/>
        </w:rPr>
      </w:pPr>
    </w:p>
    <w:p w:rsidR="00AB1FA9" w:rsidRPr="006E5089" w:rsidRDefault="00AB1FA9" w:rsidP="00AB1FA9">
      <w:pPr>
        <w:autoSpaceDE w:val="0"/>
        <w:autoSpaceDN w:val="0"/>
        <w:adjustRightInd w:val="0"/>
        <w:jc w:val="both"/>
        <w:rPr>
          <w:sz w:val="22"/>
          <w:szCs w:val="22"/>
        </w:rPr>
      </w:pPr>
    </w:p>
    <w:p w:rsidR="00AB1FA9" w:rsidRPr="006E5089" w:rsidRDefault="00AB1FA9" w:rsidP="00AB1FA9">
      <w:pPr>
        <w:autoSpaceDE w:val="0"/>
        <w:autoSpaceDN w:val="0"/>
        <w:adjustRightInd w:val="0"/>
        <w:jc w:val="both"/>
        <w:rPr>
          <w:sz w:val="22"/>
          <w:szCs w:val="22"/>
        </w:rPr>
      </w:pPr>
    </w:p>
    <w:p w:rsidR="001D6FCE" w:rsidRPr="006E5089" w:rsidRDefault="001D6FCE" w:rsidP="00AB1FA9">
      <w:pPr>
        <w:autoSpaceDE w:val="0"/>
        <w:autoSpaceDN w:val="0"/>
        <w:adjustRightInd w:val="0"/>
        <w:jc w:val="both"/>
        <w:rPr>
          <w:sz w:val="22"/>
          <w:szCs w:val="22"/>
        </w:rPr>
      </w:pPr>
    </w:p>
    <w:p w:rsidR="001D6FCE" w:rsidRPr="006E5089" w:rsidRDefault="001D6FCE" w:rsidP="00AB1FA9">
      <w:pPr>
        <w:autoSpaceDE w:val="0"/>
        <w:autoSpaceDN w:val="0"/>
        <w:adjustRightInd w:val="0"/>
        <w:jc w:val="both"/>
        <w:rPr>
          <w:sz w:val="22"/>
          <w:szCs w:val="22"/>
        </w:rPr>
      </w:pPr>
    </w:p>
    <w:p w:rsidR="001D6FCE" w:rsidRPr="006E5089" w:rsidRDefault="001D6FCE" w:rsidP="00AB1FA9">
      <w:pPr>
        <w:autoSpaceDE w:val="0"/>
        <w:autoSpaceDN w:val="0"/>
        <w:adjustRightInd w:val="0"/>
        <w:jc w:val="both"/>
        <w:rPr>
          <w:sz w:val="22"/>
          <w:szCs w:val="22"/>
        </w:rPr>
      </w:pPr>
    </w:p>
    <w:p w:rsidR="00AB1FA9" w:rsidRPr="006E5089" w:rsidRDefault="00AB1FA9" w:rsidP="00AB1FA9">
      <w:pPr>
        <w:autoSpaceDE w:val="0"/>
        <w:autoSpaceDN w:val="0"/>
        <w:adjustRightInd w:val="0"/>
        <w:jc w:val="both"/>
        <w:rPr>
          <w:sz w:val="22"/>
          <w:szCs w:val="22"/>
        </w:rPr>
      </w:pPr>
    </w:p>
    <w:p w:rsidR="00AB1FA9" w:rsidRPr="006E5089" w:rsidRDefault="00AB1FA9" w:rsidP="00AB1FA9">
      <w:pPr>
        <w:autoSpaceDE w:val="0"/>
        <w:autoSpaceDN w:val="0"/>
        <w:adjustRightInd w:val="0"/>
        <w:jc w:val="both"/>
        <w:rPr>
          <w:sz w:val="22"/>
          <w:szCs w:val="22"/>
        </w:rPr>
      </w:pPr>
    </w:p>
    <w:p w:rsidR="00AB1FA9" w:rsidRPr="006E5089" w:rsidRDefault="00AB1FA9" w:rsidP="00AB1FA9">
      <w:pPr>
        <w:autoSpaceDE w:val="0"/>
        <w:autoSpaceDN w:val="0"/>
        <w:adjustRightInd w:val="0"/>
        <w:jc w:val="both"/>
        <w:rPr>
          <w:sz w:val="22"/>
          <w:szCs w:val="22"/>
        </w:rPr>
      </w:pPr>
    </w:p>
    <w:p w:rsidR="00AB1FA9" w:rsidRPr="006E5089" w:rsidRDefault="00AB1FA9" w:rsidP="00AB1FA9">
      <w:pPr>
        <w:autoSpaceDE w:val="0"/>
        <w:autoSpaceDN w:val="0"/>
        <w:adjustRightInd w:val="0"/>
        <w:jc w:val="both"/>
        <w:rPr>
          <w:sz w:val="22"/>
          <w:szCs w:val="22"/>
        </w:rPr>
      </w:pPr>
    </w:p>
    <w:p w:rsidR="00C8114A" w:rsidRPr="00CB5C80" w:rsidRDefault="00C8114A" w:rsidP="00C8114A">
      <w:pPr>
        <w:pStyle w:val="HTMLPreformatted"/>
        <w:ind w:left="0" w:right="0"/>
        <w:jc w:val="right"/>
        <w:rPr>
          <w:rFonts w:ascii="Times New Roman" w:hAnsi="Times New Roman" w:cs="Times New Roman"/>
          <w:sz w:val="24"/>
          <w:szCs w:val="22"/>
        </w:rPr>
      </w:pPr>
      <w:r w:rsidRPr="00CB5C80">
        <w:rPr>
          <w:rFonts w:ascii="Times New Roman" w:hAnsi="Times New Roman" w:cs="Times New Roman"/>
          <w:sz w:val="24"/>
          <w:szCs w:val="22"/>
        </w:rPr>
        <w:lastRenderedPageBreak/>
        <w:t>ATTACHMENT A</w:t>
      </w:r>
    </w:p>
    <w:p w:rsidR="00931FBC" w:rsidRPr="00CB5C80" w:rsidRDefault="00931FBC" w:rsidP="00C8114A">
      <w:pPr>
        <w:pStyle w:val="HTMLPreformatted"/>
        <w:ind w:left="0" w:right="0"/>
        <w:jc w:val="both"/>
        <w:rPr>
          <w:rFonts w:ascii="Times New Roman" w:hAnsi="Times New Roman" w:cs="Times New Roman"/>
          <w:sz w:val="24"/>
          <w:szCs w:val="22"/>
        </w:rPr>
      </w:pPr>
    </w:p>
    <w:p w:rsidR="00A1280A" w:rsidRPr="00CB5C80" w:rsidRDefault="00A1280A" w:rsidP="00C8114A">
      <w:pPr>
        <w:pStyle w:val="HTMLPreformatted"/>
        <w:ind w:left="0" w:right="0"/>
        <w:jc w:val="both"/>
        <w:rPr>
          <w:rFonts w:ascii="Times New Roman" w:hAnsi="Times New Roman" w:cs="Times New Roman"/>
          <w:sz w:val="24"/>
          <w:szCs w:val="22"/>
        </w:rPr>
      </w:pPr>
    </w:p>
    <w:p w:rsidR="00C8114A" w:rsidRPr="00CB5C80" w:rsidRDefault="00931FBC" w:rsidP="00931FBC">
      <w:pPr>
        <w:pStyle w:val="HTMLPreformatted"/>
        <w:ind w:left="0" w:right="0"/>
        <w:jc w:val="center"/>
        <w:rPr>
          <w:rFonts w:ascii="Times New Roman" w:hAnsi="Times New Roman" w:cs="Times New Roman"/>
          <w:b/>
          <w:sz w:val="24"/>
          <w:szCs w:val="22"/>
        </w:rPr>
      </w:pPr>
      <w:r w:rsidRPr="00CB5C80">
        <w:rPr>
          <w:rFonts w:ascii="Times New Roman" w:hAnsi="Times New Roman" w:cs="Times New Roman"/>
          <w:b/>
          <w:sz w:val="24"/>
          <w:szCs w:val="22"/>
        </w:rPr>
        <w:t>WEST VIRGINIA CODE</w:t>
      </w:r>
    </w:p>
    <w:p w:rsidR="00C8114A" w:rsidRPr="00CB5C80" w:rsidRDefault="00C8114A" w:rsidP="00931FBC">
      <w:pPr>
        <w:pStyle w:val="HTMLPreformatted"/>
        <w:ind w:left="0" w:right="0"/>
        <w:jc w:val="both"/>
        <w:rPr>
          <w:rFonts w:ascii="Times New Roman" w:hAnsi="Times New Roman" w:cs="Times New Roman"/>
          <w:sz w:val="24"/>
          <w:szCs w:val="22"/>
        </w:rPr>
      </w:pPr>
    </w:p>
    <w:p w:rsidR="00A1280A" w:rsidRPr="00CB5C80" w:rsidRDefault="00A1280A" w:rsidP="00931FBC">
      <w:pPr>
        <w:pStyle w:val="HTMLPreformatted"/>
        <w:ind w:left="0" w:right="0"/>
        <w:jc w:val="both"/>
        <w:rPr>
          <w:rFonts w:ascii="Times New Roman" w:hAnsi="Times New Roman" w:cs="Times New Roman"/>
          <w:sz w:val="24"/>
          <w:szCs w:val="22"/>
        </w:rPr>
      </w:pPr>
    </w:p>
    <w:p w:rsidR="00931FBC" w:rsidRPr="00CB5C80" w:rsidRDefault="00931FBC" w:rsidP="00931FBC">
      <w:pPr>
        <w:pStyle w:val="HTMLPreformatted"/>
        <w:ind w:left="0" w:right="0"/>
        <w:jc w:val="both"/>
        <w:rPr>
          <w:rFonts w:ascii="Times New Roman" w:hAnsi="Times New Roman" w:cs="Times New Roman"/>
          <w:b/>
          <w:sz w:val="24"/>
          <w:szCs w:val="22"/>
        </w:rPr>
      </w:pPr>
      <w:r w:rsidRPr="00CB5C80">
        <w:rPr>
          <w:rFonts w:ascii="Times New Roman" w:hAnsi="Times New Roman" w:cs="Times New Roman"/>
          <w:b/>
          <w:sz w:val="24"/>
          <w:szCs w:val="22"/>
        </w:rPr>
        <w:t>CHAPTER 15. PUBLIC SAFETY.</w:t>
      </w:r>
    </w:p>
    <w:p w:rsidR="00931FBC" w:rsidRPr="00CB5C80" w:rsidRDefault="00931FBC" w:rsidP="00931FBC">
      <w:pPr>
        <w:pStyle w:val="HTMLPreformatted"/>
        <w:ind w:left="0" w:right="0"/>
        <w:jc w:val="both"/>
        <w:rPr>
          <w:rFonts w:ascii="Times New Roman" w:hAnsi="Times New Roman" w:cs="Times New Roman"/>
          <w:sz w:val="24"/>
          <w:szCs w:val="22"/>
        </w:rPr>
      </w:pPr>
    </w:p>
    <w:p w:rsidR="00931FBC" w:rsidRPr="00CB5C80" w:rsidRDefault="00931FBC" w:rsidP="00931FBC">
      <w:pPr>
        <w:pStyle w:val="HTMLPreformatted"/>
        <w:ind w:left="0" w:right="0"/>
        <w:jc w:val="both"/>
        <w:rPr>
          <w:rFonts w:ascii="Times New Roman" w:hAnsi="Times New Roman" w:cs="Times New Roman"/>
          <w:b/>
          <w:sz w:val="24"/>
          <w:szCs w:val="22"/>
        </w:rPr>
      </w:pPr>
      <w:r w:rsidRPr="00CB5C80">
        <w:rPr>
          <w:rFonts w:ascii="Times New Roman" w:hAnsi="Times New Roman" w:cs="Times New Roman"/>
          <w:b/>
          <w:sz w:val="24"/>
          <w:szCs w:val="22"/>
        </w:rPr>
        <w:t>ARTICLE 1F. PRIVILEGES AND PROHIBITIONS.</w:t>
      </w:r>
    </w:p>
    <w:p w:rsidR="00931FBC" w:rsidRPr="00CB5C80" w:rsidRDefault="00931FBC" w:rsidP="00931FBC">
      <w:pPr>
        <w:pStyle w:val="HTMLPreformatted"/>
        <w:ind w:left="0" w:right="0"/>
        <w:jc w:val="both"/>
        <w:rPr>
          <w:rFonts w:ascii="Times New Roman" w:hAnsi="Times New Roman" w:cs="Times New Roman"/>
          <w:sz w:val="24"/>
          <w:szCs w:val="22"/>
        </w:rPr>
      </w:pPr>
    </w:p>
    <w:p w:rsidR="00931FBC" w:rsidRPr="00CB5C80" w:rsidRDefault="00931FBC" w:rsidP="00931FBC">
      <w:pPr>
        <w:pStyle w:val="HTMLPreformatted"/>
        <w:ind w:left="0" w:right="0"/>
        <w:jc w:val="both"/>
        <w:rPr>
          <w:rFonts w:ascii="Times New Roman" w:hAnsi="Times New Roman" w:cs="Times New Roman"/>
          <w:sz w:val="24"/>
          <w:szCs w:val="22"/>
        </w:rPr>
      </w:pPr>
      <w:r w:rsidRPr="00CB5C80">
        <w:rPr>
          <w:rFonts w:ascii="Times New Roman" w:hAnsi="Times New Roman" w:cs="Times New Roman"/>
          <w:sz w:val="24"/>
          <w:szCs w:val="22"/>
        </w:rPr>
        <w:t>§15-1F-1. Leave of absence for public officials and employees for drills, parades, active duty, etc.</w:t>
      </w:r>
    </w:p>
    <w:p w:rsidR="00931FBC" w:rsidRPr="00CB5C80" w:rsidRDefault="00931FBC" w:rsidP="00931FBC">
      <w:pPr>
        <w:pStyle w:val="HTMLPreformatted"/>
        <w:ind w:left="0" w:right="0"/>
        <w:jc w:val="both"/>
        <w:rPr>
          <w:rFonts w:ascii="Times New Roman" w:hAnsi="Times New Roman" w:cs="Times New Roman"/>
          <w:sz w:val="24"/>
          <w:szCs w:val="22"/>
        </w:rPr>
      </w:pPr>
    </w:p>
    <w:p w:rsidR="002E7D7F" w:rsidRPr="002E7D7F" w:rsidRDefault="002E7D7F" w:rsidP="002E7D7F">
      <w:pPr>
        <w:pStyle w:val="HTMLPreformatted"/>
        <w:tabs>
          <w:tab w:val="clear" w:pos="916"/>
          <w:tab w:val="left" w:pos="360"/>
        </w:tabs>
        <w:ind w:left="0"/>
        <w:jc w:val="both"/>
        <w:rPr>
          <w:rFonts w:ascii="Times New Roman" w:hAnsi="Times New Roman" w:cs="Times New Roman"/>
          <w:sz w:val="24"/>
          <w:szCs w:val="22"/>
        </w:rPr>
      </w:pPr>
      <w:r>
        <w:rPr>
          <w:rFonts w:ascii="Times New Roman" w:hAnsi="Times New Roman" w:cs="Times New Roman"/>
          <w:sz w:val="24"/>
          <w:szCs w:val="22"/>
        </w:rPr>
        <w:tab/>
      </w:r>
      <w:r w:rsidRPr="002E7D7F">
        <w:rPr>
          <w:rFonts w:ascii="Times New Roman" w:hAnsi="Times New Roman" w:cs="Times New Roman"/>
          <w:sz w:val="24"/>
          <w:szCs w:val="22"/>
        </w:rPr>
        <w:t>(a) Any officer or employee of state, county or municipal government hired for permanent employment who is a member of the National Guard or armed forces reserve, is entitled to a military leave of absence from his or her respective office or employment without loss of pay, status or efficiency rating, on the days during which he or she is ordered, by properly designated authority, to be engaged in drills, inactive duty training, parades, funeral details, service schools or other duty, during business hours, field training, annual training or other full-time National Guard duty pursuant to Title 10 or Title 32 of the United States Code, or active service of the state, for a maximum period of thirty working days, not to exceed two hundred forty hours in any one calendar year.</w:t>
      </w:r>
    </w:p>
    <w:p w:rsidR="002E7D7F" w:rsidRPr="002E7D7F" w:rsidRDefault="002E7D7F" w:rsidP="002E7D7F">
      <w:pPr>
        <w:pStyle w:val="HTMLPreformatted"/>
        <w:tabs>
          <w:tab w:val="clear" w:pos="916"/>
          <w:tab w:val="left" w:pos="360"/>
        </w:tabs>
        <w:ind w:left="0"/>
        <w:jc w:val="both"/>
        <w:rPr>
          <w:rFonts w:ascii="Times New Roman" w:hAnsi="Times New Roman" w:cs="Times New Roman"/>
          <w:sz w:val="24"/>
          <w:szCs w:val="22"/>
        </w:rPr>
      </w:pPr>
    </w:p>
    <w:p w:rsidR="002E7D7F" w:rsidRPr="002E7D7F" w:rsidRDefault="002E7D7F" w:rsidP="002E7D7F">
      <w:pPr>
        <w:pStyle w:val="HTMLPreformatted"/>
        <w:tabs>
          <w:tab w:val="clear" w:pos="916"/>
          <w:tab w:val="left" w:pos="360"/>
        </w:tabs>
        <w:ind w:left="0"/>
        <w:jc w:val="both"/>
        <w:rPr>
          <w:rFonts w:ascii="Times New Roman" w:hAnsi="Times New Roman" w:cs="Times New Roman"/>
          <w:sz w:val="24"/>
          <w:szCs w:val="22"/>
        </w:rPr>
      </w:pPr>
      <w:r>
        <w:rPr>
          <w:rFonts w:ascii="Times New Roman" w:hAnsi="Times New Roman" w:cs="Times New Roman"/>
          <w:sz w:val="24"/>
          <w:szCs w:val="22"/>
        </w:rPr>
        <w:tab/>
      </w:r>
      <w:r w:rsidRPr="002E7D7F">
        <w:rPr>
          <w:rFonts w:ascii="Times New Roman" w:hAnsi="Times New Roman" w:cs="Times New Roman"/>
          <w:sz w:val="24"/>
          <w:szCs w:val="22"/>
        </w:rPr>
        <w:t>(b) Any officer or employee of state, county or municipal government hired for permanent employment ordered or called to active duty for a mobilization or deployment under Title 10 of the United States Code or in support of a contingency operation as defined in 10 U.S.C. §101(a)(13) by the properly designated federal authority is entitled to a military leave of absence from his or her respective office or employment without loss of pay, status or efficiency rating for a maximum period of thirty working days, not to exceed two hundred forty hours for a single call to active duty: Provided, That an officer or employee of state, county or municipal government called to active duty who has not used all or some portion of the thirty working days of military leave of absence granted by subsection (a) of this section is entitled to add the number of unused days from that calendar year to the thirty working days, not to exceed two hundred forty hours granted by this subsection, up to a maximum of sixty days for a single call to active duty: Provided, however, That none of the unused days of military leave of absence granted by subsection (a) of this section may be carried over and used in the next calendar year.</w:t>
      </w:r>
    </w:p>
    <w:p w:rsidR="002E7D7F" w:rsidRPr="002E7D7F" w:rsidRDefault="002E7D7F" w:rsidP="002E7D7F">
      <w:pPr>
        <w:pStyle w:val="HTMLPreformatted"/>
        <w:tabs>
          <w:tab w:val="clear" w:pos="916"/>
          <w:tab w:val="left" w:pos="360"/>
        </w:tabs>
        <w:ind w:left="0"/>
        <w:jc w:val="both"/>
        <w:rPr>
          <w:rFonts w:ascii="Times New Roman" w:hAnsi="Times New Roman" w:cs="Times New Roman"/>
          <w:sz w:val="24"/>
          <w:szCs w:val="22"/>
        </w:rPr>
      </w:pPr>
    </w:p>
    <w:p w:rsidR="002E7D7F" w:rsidRPr="002E7D7F" w:rsidRDefault="002E7D7F" w:rsidP="002E7D7F">
      <w:pPr>
        <w:pStyle w:val="HTMLPreformatted"/>
        <w:tabs>
          <w:tab w:val="clear" w:pos="916"/>
          <w:tab w:val="left" w:pos="360"/>
        </w:tabs>
        <w:ind w:left="0"/>
        <w:jc w:val="both"/>
        <w:rPr>
          <w:rFonts w:ascii="Times New Roman" w:hAnsi="Times New Roman" w:cs="Times New Roman"/>
          <w:sz w:val="24"/>
          <w:szCs w:val="22"/>
        </w:rPr>
      </w:pPr>
      <w:r>
        <w:rPr>
          <w:rFonts w:ascii="Times New Roman" w:hAnsi="Times New Roman" w:cs="Times New Roman"/>
          <w:sz w:val="24"/>
          <w:szCs w:val="22"/>
        </w:rPr>
        <w:tab/>
      </w:r>
      <w:r w:rsidRPr="002E7D7F">
        <w:rPr>
          <w:rFonts w:ascii="Times New Roman" w:hAnsi="Times New Roman" w:cs="Times New Roman"/>
          <w:sz w:val="24"/>
          <w:szCs w:val="22"/>
        </w:rPr>
        <w:t>(c) The term "without loss of pay" means that the officer or employee shall continue to receive his or her normal salary or compensation, notwithstanding the fact that the officer or employee may have received other compensation from federal or state sources during the same period.</w:t>
      </w:r>
    </w:p>
    <w:p w:rsidR="00D3670E" w:rsidRPr="00CB5C80" w:rsidRDefault="00D3670E" w:rsidP="00C8114A">
      <w:pPr>
        <w:pStyle w:val="HTMLPreformatted"/>
        <w:ind w:left="0" w:right="0"/>
        <w:jc w:val="both"/>
        <w:rPr>
          <w:rFonts w:ascii="Times New Roman" w:hAnsi="Times New Roman" w:cs="Times New Roman"/>
          <w:sz w:val="24"/>
          <w:szCs w:val="22"/>
        </w:rPr>
      </w:pPr>
    </w:p>
    <w:p w:rsidR="00D3670E" w:rsidRPr="00CB5C80" w:rsidRDefault="00D3670E" w:rsidP="00C8114A">
      <w:pPr>
        <w:pStyle w:val="HTMLPreformatted"/>
        <w:ind w:left="0" w:right="0"/>
        <w:jc w:val="both"/>
        <w:rPr>
          <w:rFonts w:ascii="Times New Roman" w:hAnsi="Times New Roman" w:cs="Times New Roman"/>
          <w:sz w:val="24"/>
          <w:szCs w:val="22"/>
        </w:rPr>
      </w:pPr>
    </w:p>
    <w:p w:rsidR="00D3670E" w:rsidRPr="00CB5C80" w:rsidRDefault="00D3670E" w:rsidP="00C8114A">
      <w:pPr>
        <w:pStyle w:val="HTMLPreformatted"/>
        <w:ind w:left="0" w:right="0"/>
        <w:jc w:val="both"/>
        <w:rPr>
          <w:rFonts w:ascii="Times New Roman" w:hAnsi="Times New Roman" w:cs="Times New Roman"/>
          <w:sz w:val="24"/>
          <w:szCs w:val="22"/>
        </w:rPr>
      </w:pPr>
    </w:p>
    <w:p w:rsidR="00D3670E" w:rsidRPr="00CB5C80" w:rsidRDefault="00D3670E" w:rsidP="00C8114A">
      <w:pPr>
        <w:pStyle w:val="HTMLPreformatted"/>
        <w:ind w:left="0" w:right="0"/>
        <w:jc w:val="both"/>
        <w:rPr>
          <w:rFonts w:ascii="Times New Roman" w:hAnsi="Times New Roman" w:cs="Times New Roman"/>
          <w:sz w:val="24"/>
          <w:szCs w:val="22"/>
        </w:rPr>
      </w:pPr>
    </w:p>
    <w:p w:rsidR="00931FBC" w:rsidRPr="00CB5C80" w:rsidRDefault="00931FBC" w:rsidP="00C8114A">
      <w:pPr>
        <w:pStyle w:val="HTMLPreformatted"/>
        <w:ind w:left="0" w:right="0"/>
        <w:jc w:val="both"/>
        <w:rPr>
          <w:rFonts w:ascii="Times New Roman" w:hAnsi="Times New Roman" w:cs="Times New Roman"/>
          <w:sz w:val="24"/>
          <w:szCs w:val="22"/>
        </w:rPr>
      </w:pPr>
    </w:p>
    <w:p w:rsidR="00931FBC" w:rsidRPr="00CB5C80" w:rsidRDefault="00931FBC" w:rsidP="00C8114A">
      <w:pPr>
        <w:pStyle w:val="HTMLPreformatted"/>
        <w:ind w:left="0" w:right="0"/>
        <w:jc w:val="both"/>
        <w:rPr>
          <w:rFonts w:ascii="Times New Roman" w:hAnsi="Times New Roman" w:cs="Times New Roman"/>
          <w:sz w:val="24"/>
          <w:szCs w:val="22"/>
        </w:rPr>
      </w:pPr>
    </w:p>
    <w:p w:rsidR="00931FBC" w:rsidRPr="00CB5C80" w:rsidRDefault="00931FBC" w:rsidP="00C8114A">
      <w:pPr>
        <w:pStyle w:val="HTMLPreformatted"/>
        <w:ind w:left="0" w:right="0"/>
        <w:jc w:val="both"/>
        <w:rPr>
          <w:rFonts w:ascii="Times New Roman" w:hAnsi="Times New Roman" w:cs="Times New Roman"/>
          <w:sz w:val="24"/>
          <w:szCs w:val="22"/>
        </w:rPr>
      </w:pPr>
    </w:p>
    <w:p w:rsidR="00931FBC" w:rsidRPr="00CB5C80" w:rsidRDefault="00931FBC" w:rsidP="00C8114A">
      <w:pPr>
        <w:pStyle w:val="HTMLPreformatted"/>
        <w:ind w:left="0" w:right="0"/>
        <w:jc w:val="both"/>
        <w:rPr>
          <w:rFonts w:ascii="Times New Roman" w:hAnsi="Times New Roman" w:cs="Times New Roman"/>
          <w:sz w:val="24"/>
          <w:szCs w:val="22"/>
        </w:rPr>
      </w:pPr>
    </w:p>
    <w:p w:rsidR="00931FBC" w:rsidRPr="00CB5C80" w:rsidRDefault="00931FBC" w:rsidP="00C8114A">
      <w:pPr>
        <w:pStyle w:val="HTMLPreformatted"/>
        <w:ind w:left="0" w:right="0"/>
        <w:jc w:val="both"/>
        <w:rPr>
          <w:rFonts w:ascii="Times New Roman" w:hAnsi="Times New Roman" w:cs="Times New Roman"/>
          <w:sz w:val="24"/>
          <w:szCs w:val="22"/>
        </w:rPr>
      </w:pPr>
    </w:p>
    <w:p w:rsidR="00CB5C80" w:rsidRPr="00CB5C80" w:rsidRDefault="00CB5C80" w:rsidP="00C8114A">
      <w:pPr>
        <w:pStyle w:val="HTMLPreformatted"/>
        <w:ind w:left="0" w:right="0"/>
        <w:jc w:val="right"/>
        <w:rPr>
          <w:rFonts w:ascii="Times New Roman" w:hAnsi="Times New Roman" w:cs="Times New Roman"/>
          <w:sz w:val="24"/>
          <w:szCs w:val="22"/>
        </w:rPr>
        <w:sectPr w:rsidR="00CB5C80" w:rsidRPr="00CB5C80" w:rsidSect="00274ECB">
          <w:pgSz w:w="12240" w:h="15840"/>
          <w:pgMar w:top="1008" w:right="1440" w:bottom="1008" w:left="1296" w:header="720" w:footer="720" w:gutter="0"/>
          <w:cols w:space="720"/>
          <w:noEndnote/>
        </w:sectPr>
      </w:pPr>
    </w:p>
    <w:p w:rsidR="00C8114A" w:rsidRPr="00CB5C80" w:rsidRDefault="00C8114A" w:rsidP="00C8114A">
      <w:pPr>
        <w:pStyle w:val="HTMLPreformatted"/>
        <w:ind w:left="0" w:right="0"/>
        <w:jc w:val="right"/>
        <w:rPr>
          <w:rFonts w:ascii="Times New Roman" w:hAnsi="Times New Roman" w:cs="Times New Roman"/>
          <w:sz w:val="24"/>
          <w:szCs w:val="22"/>
        </w:rPr>
      </w:pPr>
      <w:r w:rsidRPr="00CB5C80">
        <w:rPr>
          <w:rFonts w:ascii="Times New Roman" w:hAnsi="Times New Roman" w:cs="Times New Roman"/>
          <w:sz w:val="24"/>
          <w:szCs w:val="22"/>
        </w:rPr>
        <w:lastRenderedPageBreak/>
        <w:t>ATTACHMENT B</w:t>
      </w:r>
    </w:p>
    <w:p w:rsidR="00C8114A" w:rsidRPr="00CB5C80" w:rsidRDefault="00C8114A" w:rsidP="00C967FE">
      <w:pPr>
        <w:pStyle w:val="HTMLPreformatted"/>
        <w:ind w:left="0" w:right="0"/>
        <w:jc w:val="center"/>
        <w:rPr>
          <w:rFonts w:ascii="Times New Roman" w:hAnsi="Times New Roman" w:cs="Times New Roman"/>
          <w:sz w:val="24"/>
          <w:szCs w:val="22"/>
        </w:rPr>
      </w:pPr>
    </w:p>
    <w:p w:rsidR="00F001EA" w:rsidRPr="00CB5C80" w:rsidRDefault="00F001EA" w:rsidP="00C967FE">
      <w:pPr>
        <w:pStyle w:val="HTMLPreformatted"/>
        <w:ind w:left="0" w:right="0"/>
        <w:jc w:val="center"/>
        <w:rPr>
          <w:rFonts w:ascii="Times New Roman" w:hAnsi="Times New Roman" w:cs="Times New Roman"/>
          <w:b/>
          <w:sz w:val="24"/>
          <w:szCs w:val="24"/>
        </w:rPr>
      </w:pPr>
      <w:r w:rsidRPr="00CB5C80">
        <w:rPr>
          <w:rFonts w:ascii="Times New Roman" w:hAnsi="Times New Roman" w:cs="Times New Roman"/>
          <w:b/>
          <w:sz w:val="24"/>
          <w:szCs w:val="24"/>
        </w:rPr>
        <w:t>WEST VIRGINIA ADMINISTRATIVE RULE</w:t>
      </w:r>
    </w:p>
    <w:p w:rsidR="00F001EA" w:rsidRPr="00CB5C80" w:rsidRDefault="00F001EA" w:rsidP="00CC4BA8">
      <w:pPr>
        <w:pStyle w:val="HTMLPreformatted"/>
        <w:ind w:left="0" w:right="0"/>
        <w:jc w:val="center"/>
        <w:rPr>
          <w:rFonts w:ascii="Times New Roman" w:hAnsi="Times New Roman" w:cs="Times New Roman"/>
          <w:b/>
          <w:sz w:val="24"/>
          <w:szCs w:val="24"/>
        </w:rPr>
      </w:pPr>
      <w:r w:rsidRPr="00CB5C80">
        <w:rPr>
          <w:rFonts w:ascii="Times New Roman" w:hAnsi="Times New Roman" w:cs="Times New Roman"/>
          <w:b/>
          <w:sz w:val="24"/>
          <w:szCs w:val="24"/>
        </w:rPr>
        <w:t>DIVISION OF PERSONNEL</w:t>
      </w:r>
    </w:p>
    <w:p w:rsidR="00F001EA" w:rsidRPr="00CB5C80" w:rsidRDefault="00F001EA" w:rsidP="00CC4BA8">
      <w:pPr>
        <w:pStyle w:val="HTMLPreformatted"/>
        <w:ind w:left="0" w:right="0"/>
        <w:jc w:val="center"/>
        <w:rPr>
          <w:rFonts w:ascii="Times New Roman" w:hAnsi="Times New Roman" w:cs="Times New Roman"/>
          <w:sz w:val="24"/>
          <w:szCs w:val="24"/>
        </w:rPr>
      </w:pPr>
      <w:r w:rsidRPr="00CB5C80">
        <w:rPr>
          <w:rFonts w:ascii="Times New Roman" w:hAnsi="Times New Roman" w:cs="Times New Roman"/>
          <w:sz w:val="24"/>
          <w:szCs w:val="24"/>
        </w:rPr>
        <w:t>Chapter 29-6-10</w:t>
      </w:r>
      <w:r w:rsidR="00BD0ADA" w:rsidRPr="00CB5C80">
        <w:rPr>
          <w:rFonts w:ascii="Times New Roman" w:hAnsi="Times New Roman" w:cs="Times New Roman"/>
          <w:sz w:val="24"/>
          <w:szCs w:val="24"/>
        </w:rPr>
        <w:t xml:space="preserve"> </w:t>
      </w:r>
    </w:p>
    <w:p w:rsidR="00F001EA" w:rsidRPr="00CB5C80" w:rsidRDefault="00F001EA" w:rsidP="00CC4BA8">
      <w:pPr>
        <w:pStyle w:val="HTMLPreformatted"/>
        <w:ind w:left="0" w:right="0"/>
        <w:jc w:val="center"/>
        <w:rPr>
          <w:rFonts w:ascii="Times New Roman" w:hAnsi="Times New Roman" w:cs="Times New Roman"/>
          <w:sz w:val="24"/>
          <w:szCs w:val="24"/>
        </w:rPr>
      </w:pPr>
      <w:r w:rsidRPr="00CB5C80">
        <w:rPr>
          <w:rFonts w:ascii="Times New Roman" w:hAnsi="Times New Roman" w:cs="Times New Roman"/>
          <w:sz w:val="24"/>
          <w:szCs w:val="24"/>
        </w:rPr>
        <w:t>Series I</w:t>
      </w:r>
      <w:r w:rsidR="00BD0ADA" w:rsidRPr="00CB5C80">
        <w:rPr>
          <w:rFonts w:ascii="Times New Roman" w:hAnsi="Times New Roman" w:cs="Times New Roman"/>
          <w:sz w:val="24"/>
          <w:szCs w:val="24"/>
        </w:rPr>
        <w:t xml:space="preserve">, </w:t>
      </w:r>
      <w:r w:rsidR="002B3EE5" w:rsidRPr="00CB5C80">
        <w:rPr>
          <w:rFonts w:ascii="Times New Roman" w:hAnsi="Times New Roman" w:cs="Times New Roman"/>
          <w:sz w:val="24"/>
          <w:szCs w:val="24"/>
        </w:rPr>
        <w:t>20</w:t>
      </w:r>
      <w:r w:rsidR="001B4637">
        <w:rPr>
          <w:rFonts w:ascii="Times New Roman" w:hAnsi="Times New Roman" w:cs="Times New Roman"/>
          <w:sz w:val="24"/>
          <w:szCs w:val="24"/>
        </w:rPr>
        <w:t>1</w:t>
      </w:r>
      <w:r w:rsidR="00B76B1B">
        <w:rPr>
          <w:rFonts w:ascii="Times New Roman" w:hAnsi="Times New Roman" w:cs="Times New Roman"/>
          <w:sz w:val="24"/>
          <w:szCs w:val="24"/>
        </w:rPr>
        <w:t>2</w:t>
      </w:r>
      <w:r w:rsidRPr="00CB5C80">
        <w:rPr>
          <w:rFonts w:ascii="Times New Roman" w:hAnsi="Times New Roman" w:cs="Times New Roman"/>
          <w:sz w:val="24"/>
          <w:szCs w:val="24"/>
        </w:rPr>
        <w:t xml:space="preserve"> Amended</w:t>
      </w:r>
    </w:p>
    <w:p w:rsidR="00F001EA" w:rsidRPr="00CB5C80" w:rsidRDefault="00F001EA" w:rsidP="00CC4BA8">
      <w:pPr>
        <w:pStyle w:val="HTMLPreformatted"/>
        <w:ind w:left="0" w:right="0"/>
        <w:rPr>
          <w:rFonts w:ascii="Times New Roman" w:hAnsi="Times New Roman" w:cs="Times New Roman"/>
          <w:sz w:val="24"/>
          <w:szCs w:val="24"/>
        </w:rPr>
      </w:pPr>
    </w:p>
    <w:bookmarkEnd w:id="1"/>
    <w:p w:rsidR="001B4637" w:rsidRPr="00BC4F30" w:rsidRDefault="00BC4F30" w:rsidP="00BC4F30">
      <w:pPr>
        <w:pStyle w:val="HTMLPreformatted"/>
        <w:ind w:left="0" w:right="0"/>
        <w:rPr>
          <w:rFonts w:ascii="Times New Roman" w:hAnsi="Times New Roman" w:cs="Times New Roman"/>
          <w:b/>
          <w:sz w:val="24"/>
          <w:szCs w:val="24"/>
        </w:rPr>
      </w:pPr>
      <w:r w:rsidRPr="00BC4F30">
        <w:rPr>
          <w:rFonts w:ascii="Times New Roman" w:hAnsi="Times New Roman" w:cs="Times New Roman"/>
          <w:b/>
          <w:sz w:val="24"/>
          <w:szCs w:val="24"/>
        </w:rPr>
        <w:t xml:space="preserve">§143-1-14.  </w:t>
      </w:r>
      <w:proofErr w:type="gramStart"/>
      <w:r w:rsidRPr="00BC4F30">
        <w:rPr>
          <w:rFonts w:ascii="Times New Roman" w:hAnsi="Times New Roman" w:cs="Times New Roman"/>
          <w:b/>
          <w:sz w:val="24"/>
          <w:szCs w:val="24"/>
        </w:rPr>
        <w:t>Attendance and Leave.</w:t>
      </w:r>
      <w:proofErr w:type="gramEnd"/>
    </w:p>
    <w:p w:rsidR="00BC4F30" w:rsidRDefault="00BC4F30" w:rsidP="00BC4F30">
      <w:pPr>
        <w:pStyle w:val="HTMLPreformatted"/>
        <w:ind w:left="0" w:right="0"/>
        <w:rPr>
          <w:rFonts w:ascii="Times New Roman" w:hAnsi="Times New Roman" w:cs="Times New Roman"/>
          <w:sz w:val="24"/>
          <w:szCs w:val="24"/>
        </w:rPr>
      </w:pPr>
    </w:p>
    <w:p w:rsidR="00BC4F30" w:rsidRPr="00BC4F30" w:rsidRDefault="00BC4F30" w:rsidP="00BC4F30">
      <w:pPr>
        <w:pStyle w:val="HTMLPreformatted"/>
        <w:ind w:left="450"/>
        <w:rPr>
          <w:rFonts w:ascii="Times New Roman" w:hAnsi="Times New Roman" w:cs="Times New Roman"/>
          <w:sz w:val="24"/>
          <w:szCs w:val="24"/>
        </w:rPr>
      </w:pPr>
      <w:r w:rsidRPr="00BC4F30">
        <w:rPr>
          <w:rFonts w:ascii="Times New Roman" w:hAnsi="Times New Roman" w:cs="Times New Roman"/>
          <w:sz w:val="24"/>
          <w:szCs w:val="24"/>
        </w:rPr>
        <w:t>14.9</w:t>
      </w:r>
      <w:proofErr w:type="gramStart"/>
      <w:r w:rsidRPr="00BC4F30">
        <w:rPr>
          <w:rFonts w:ascii="Times New Roman" w:hAnsi="Times New Roman" w:cs="Times New Roman"/>
          <w:sz w:val="24"/>
          <w:szCs w:val="24"/>
        </w:rPr>
        <w:t>.  Military</w:t>
      </w:r>
      <w:proofErr w:type="gramEnd"/>
      <w:r w:rsidRPr="00BC4F30">
        <w:rPr>
          <w:rFonts w:ascii="Times New Roman" w:hAnsi="Times New Roman" w:cs="Times New Roman"/>
          <w:sz w:val="24"/>
          <w:szCs w:val="24"/>
        </w:rPr>
        <w:t xml:space="preserve"> Leave.</w:t>
      </w:r>
    </w:p>
    <w:p w:rsidR="00BC4F30" w:rsidRPr="00BC4F30" w:rsidRDefault="00BC4F30" w:rsidP="00BC4F30">
      <w:pPr>
        <w:pStyle w:val="HTMLPreformatted"/>
        <w:rPr>
          <w:rFonts w:ascii="Times New Roman" w:hAnsi="Times New Roman" w:cs="Times New Roman"/>
          <w:sz w:val="24"/>
          <w:szCs w:val="24"/>
        </w:rPr>
      </w:pPr>
    </w:p>
    <w:p w:rsidR="00BC4F30" w:rsidRDefault="00BC4F30" w:rsidP="00BC4F30">
      <w:pPr>
        <w:pStyle w:val="HTMLPreformatted"/>
        <w:ind w:left="900"/>
        <w:rPr>
          <w:rFonts w:ascii="Times New Roman" w:hAnsi="Times New Roman" w:cs="Times New Roman"/>
          <w:sz w:val="24"/>
          <w:szCs w:val="24"/>
        </w:rPr>
      </w:pPr>
      <w:r w:rsidRPr="00BC4F30">
        <w:rPr>
          <w:rFonts w:ascii="Times New Roman" w:hAnsi="Times New Roman" w:cs="Times New Roman"/>
          <w:sz w:val="24"/>
          <w:szCs w:val="24"/>
        </w:rPr>
        <w:t>14.9</w:t>
      </w:r>
      <w:proofErr w:type="gramStart"/>
      <w:r w:rsidRPr="00BC4F30">
        <w:rPr>
          <w:rFonts w:ascii="Times New Roman" w:hAnsi="Times New Roman" w:cs="Times New Roman"/>
          <w:sz w:val="24"/>
          <w:szCs w:val="24"/>
        </w:rPr>
        <w:t>.a</w:t>
      </w:r>
      <w:proofErr w:type="gramEnd"/>
      <w:r w:rsidRPr="00BC4F30">
        <w:rPr>
          <w:rFonts w:ascii="Times New Roman" w:hAnsi="Times New Roman" w:cs="Times New Roman"/>
          <w:sz w:val="24"/>
          <w:szCs w:val="24"/>
        </w:rPr>
        <w:t xml:space="preserve">.  </w:t>
      </w:r>
      <w:proofErr w:type="gramStart"/>
      <w:r w:rsidRPr="00BC4F30">
        <w:rPr>
          <w:rFonts w:ascii="Times New Roman" w:hAnsi="Times New Roman" w:cs="Times New Roman"/>
          <w:sz w:val="24"/>
          <w:szCs w:val="24"/>
        </w:rPr>
        <w:t>State Active Duty and Reserve Military Service.</w:t>
      </w:r>
      <w:proofErr w:type="gramEnd"/>
      <w:r w:rsidRPr="00BC4F30">
        <w:rPr>
          <w:rFonts w:ascii="Times New Roman" w:hAnsi="Times New Roman" w:cs="Times New Roman"/>
          <w:sz w:val="24"/>
          <w:szCs w:val="24"/>
        </w:rPr>
        <w:t xml:space="preserve"> -- In accordance with the provisions of W. Va. Code §15-1F-1(a), all officers and employees of the State hired for permanent employment who are members of the National Guard or of any of the reserve components of the armed forces of the federal government are entitled to a leave of absence from employment without loss of pay, status, or efficiency rating, on all days during which they are engaged in drills or parades, or for examination to determine fitness for duty, inactive duty training, funeral, service schools, active duty for training or active service for the State during business hours all to include reasonable travel time to and from the duty location, for a maximum period of thirty (30) working days in any one calendar year, not to exceed two hundred forty hours, when ordered or authorized by proper authority.  The term "without loss of pay" means that the employee continues to receive his or her normal salary or compensation, notwithstanding the fact that the employee may have received other compensation during the same period.  An employee need not exhaust all annual leave or sick leave.  Furthermore, the leave of absence is considered as time worked for the agency in computing seniority, eligibility for salary increase and experience with the agency.  The terms of this subdivision do not apply under the provisions of any military selective service act.  An employee shall provide to the appointing authority advance written or verbal notification of an obligation or intention to perform military duty and such written orders or other documentation, if available, in support of the request for military leave.  None of the unused days of military leave for which an officer or employee is eligible under this subdivision may be carried over and used in the next calendar year.  An employee on extended federal active duty or full-time National Guard duty is eligible for leave provided in this subdivision only in the year he or she is called to active duty, and in subsequent years only after he or she has been discharged from military duty and returned to State employment.</w:t>
      </w:r>
    </w:p>
    <w:p w:rsidR="00BC4F30" w:rsidRDefault="00BC4F30" w:rsidP="00BC4F30">
      <w:pPr>
        <w:pStyle w:val="HTMLPreformatted"/>
        <w:rPr>
          <w:rFonts w:ascii="Times New Roman" w:hAnsi="Times New Roman" w:cs="Times New Roman"/>
          <w:sz w:val="24"/>
          <w:szCs w:val="24"/>
        </w:rPr>
      </w:pPr>
    </w:p>
    <w:p w:rsidR="00CA6C87" w:rsidRDefault="00BC4F30" w:rsidP="00CA6C87">
      <w:pPr>
        <w:pStyle w:val="HTMLPreformatted"/>
        <w:ind w:left="900"/>
        <w:rPr>
          <w:rFonts w:ascii="Times New Roman" w:hAnsi="Times New Roman" w:cs="Times New Roman"/>
          <w:sz w:val="24"/>
          <w:szCs w:val="24"/>
        </w:rPr>
      </w:pPr>
      <w:r w:rsidRPr="00BC4F30">
        <w:rPr>
          <w:rFonts w:ascii="Times New Roman" w:hAnsi="Times New Roman" w:cs="Times New Roman"/>
          <w:sz w:val="24"/>
          <w:szCs w:val="24"/>
        </w:rPr>
        <w:t>14.9</w:t>
      </w:r>
      <w:proofErr w:type="gramStart"/>
      <w:r w:rsidRPr="00BC4F30">
        <w:rPr>
          <w:rFonts w:ascii="Times New Roman" w:hAnsi="Times New Roman" w:cs="Times New Roman"/>
          <w:sz w:val="24"/>
          <w:szCs w:val="24"/>
        </w:rPr>
        <w:t>.b</w:t>
      </w:r>
      <w:proofErr w:type="gramEnd"/>
      <w:r w:rsidRPr="00BC4F30">
        <w:rPr>
          <w:rFonts w:ascii="Times New Roman" w:hAnsi="Times New Roman" w:cs="Times New Roman"/>
          <w:sz w:val="24"/>
          <w:szCs w:val="24"/>
        </w:rPr>
        <w:t xml:space="preserve">.  </w:t>
      </w:r>
      <w:proofErr w:type="gramStart"/>
      <w:r w:rsidRPr="00BC4F30">
        <w:rPr>
          <w:rFonts w:ascii="Times New Roman" w:hAnsi="Times New Roman" w:cs="Times New Roman"/>
          <w:sz w:val="24"/>
          <w:szCs w:val="24"/>
        </w:rPr>
        <w:t>Federal Active Duty.</w:t>
      </w:r>
      <w:proofErr w:type="gramEnd"/>
      <w:r w:rsidRPr="00BC4F30">
        <w:rPr>
          <w:rFonts w:ascii="Times New Roman" w:hAnsi="Times New Roman" w:cs="Times New Roman"/>
          <w:sz w:val="24"/>
          <w:szCs w:val="24"/>
        </w:rPr>
        <w:t xml:space="preserve"> -- In accordance with the provisions of W. Va. Code §15-1F-1(b), all officers and employees of the State hired for permanent employment who are ordered or called to active duty by properly designated federal authority are eligible for an additional leave of absence from employment without loss of pay, status, or efficiency rating for a maximum period of thirty (30) working days, not to exceed two hundred forty hours, for each single call to active duty, active duty for training, initial active duty for training, or full-time National Guard duty, all to include reasonable travel time to and from the duty location.  All eligible officers and employees of the State called to federal active duty or full-time National Guard duty who have not used all or some portion of the thirty (30) working days of military leave granted by subdivision a. of this subsection are eligible to use those unused days in the same calendar year prior to using the thirty (30) days for which </w:t>
      </w:r>
      <w:r w:rsidRPr="00BC4F30">
        <w:rPr>
          <w:rFonts w:ascii="Times New Roman" w:hAnsi="Times New Roman" w:cs="Times New Roman"/>
          <w:sz w:val="24"/>
          <w:szCs w:val="24"/>
        </w:rPr>
        <w:lastRenderedPageBreak/>
        <w:t>they are eligible under this subdivision, up to a maximum of sixty (60) days for a single call to active duty.  None of the unused days for which an officer or employee is eligible under subdivision a. may be carried over and used in the next calendar year.  An employee on extended federal active duty or full-time National Guard duty is eligible for leave provided in subdivision a. of this subsection only in the year he or she is called to active duty, and, in subsequent years, only for a subsequent call to duty and only after he or she has been discharged from military duty and returned to State employment. The term "without loss of pay" means that the employee shall continue to receive his or her normal salary or compensation, notwithstanding the fact that the employee may have received other compensation from federal or state sources during the same period.</w:t>
      </w:r>
    </w:p>
    <w:p w:rsidR="00CA6C87" w:rsidRDefault="00CA6C87" w:rsidP="00CA6C87">
      <w:pPr>
        <w:pStyle w:val="HTMLPreformatted"/>
        <w:rPr>
          <w:rFonts w:ascii="Times New Roman" w:hAnsi="Times New Roman" w:cs="Times New Roman"/>
          <w:sz w:val="24"/>
          <w:szCs w:val="24"/>
        </w:rPr>
      </w:pPr>
    </w:p>
    <w:p w:rsidR="00CA6C87" w:rsidRDefault="00BC4F30" w:rsidP="00CA6C87">
      <w:pPr>
        <w:pStyle w:val="HTMLPreformatted"/>
        <w:ind w:left="900"/>
        <w:rPr>
          <w:rFonts w:ascii="Times New Roman" w:hAnsi="Times New Roman" w:cs="Times New Roman"/>
          <w:sz w:val="24"/>
          <w:szCs w:val="24"/>
        </w:rPr>
      </w:pPr>
      <w:r w:rsidRPr="00BC4F30">
        <w:rPr>
          <w:rFonts w:ascii="Times New Roman" w:hAnsi="Times New Roman" w:cs="Times New Roman"/>
          <w:sz w:val="24"/>
          <w:szCs w:val="24"/>
        </w:rPr>
        <w:t>14.9</w:t>
      </w:r>
      <w:proofErr w:type="gramStart"/>
      <w:r w:rsidRPr="00BC4F30">
        <w:rPr>
          <w:rFonts w:ascii="Times New Roman" w:hAnsi="Times New Roman" w:cs="Times New Roman"/>
          <w:sz w:val="24"/>
          <w:szCs w:val="24"/>
        </w:rPr>
        <w:t>.c</w:t>
      </w:r>
      <w:proofErr w:type="gramEnd"/>
      <w:r w:rsidRPr="00BC4F30">
        <w:rPr>
          <w:rFonts w:ascii="Times New Roman" w:hAnsi="Times New Roman" w:cs="Times New Roman"/>
          <w:sz w:val="24"/>
          <w:szCs w:val="24"/>
        </w:rPr>
        <w:t>.  Other than as provided in subdivision b. of this subsection, any employee hired for permanent employment entering the U.S. armed services in time of war, national emergency or under compulsory provisions of law of the U.S. in time of peace shall be granted a leave of absence from his or her service with the agency.  Upon completion of and discharge from the armed services and within the applicable time period prescribed by federal statute, rule, or regulation regarding return to employment, the employee has the right to resume his or her service with the agency without any prejudice to his or her status, merit rating or standing by reason of the absence, in accordance with subdivision 12.6.b. of this rule.  An employee shall be credited with all annual leave and sick leave not used at the commencement of his or her military leave in accordance with subdivision 12.6.c. of this rule.  This subdivision shall not be construed:</w:t>
      </w:r>
    </w:p>
    <w:p w:rsidR="00CA6C87" w:rsidRDefault="00CA6C87" w:rsidP="00CA6C87">
      <w:pPr>
        <w:pStyle w:val="HTMLPreformatted"/>
        <w:ind w:left="900"/>
        <w:rPr>
          <w:rFonts w:ascii="Times New Roman" w:hAnsi="Times New Roman" w:cs="Times New Roman"/>
          <w:sz w:val="24"/>
          <w:szCs w:val="24"/>
        </w:rPr>
      </w:pPr>
    </w:p>
    <w:p w:rsidR="00CA6C87" w:rsidRDefault="00BC4F30" w:rsidP="00CA6C87">
      <w:pPr>
        <w:pStyle w:val="HTMLPreformatted"/>
        <w:tabs>
          <w:tab w:val="clear" w:pos="916"/>
        </w:tabs>
        <w:ind w:left="1350"/>
        <w:rPr>
          <w:rFonts w:ascii="Times New Roman" w:hAnsi="Times New Roman" w:cs="Times New Roman"/>
          <w:sz w:val="24"/>
          <w:szCs w:val="24"/>
        </w:rPr>
      </w:pPr>
      <w:r w:rsidRPr="00BC4F30">
        <w:rPr>
          <w:rFonts w:ascii="Times New Roman" w:hAnsi="Times New Roman" w:cs="Times New Roman"/>
          <w:sz w:val="24"/>
          <w:szCs w:val="24"/>
        </w:rPr>
        <w:t>14.9</w:t>
      </w:r>
      <w:proofErr w:type="gramStart"/>
      <w:r w:rsidRPr="00BC4F30">
        <w:rPr>
          <w:rFonts w:ascii="Times New Roman" w:hAnsi="Times New Roman" w:cs="Times New Roman"/>
          <w:sz w:val="24"/>
          <w:szCs w:val="24"/>
        </w:rPr>
        <w:t>.c.1</w:t>
      </w:r>
      <w:proofErr w:type="gramEnd"/>
      <w:r w:rsidRPr="00BC4F30">
        <w:rPr>
          <w:rFonts w:ascii="Times New Roman" w:hAnsi="Times New Roman" w:cs="Times New Roman"/>
          <w:sz w:val="24"/>
          <w:szCs w:val="24"/>
        </w:rPr>
        <w:t>.  As an attempt to enlarge or to extend the length of employment of any temporary employee or to create a definite term where no definite term with respect to the position previously existed;</w:t>
      </w:r>
    </w:p>
    <w:p w:rsidR="00CA6C87" w:rsidRDefault="00CA6C87" w:rsidP="00CA6C87">
      <w:pPr>
        <w:pStyle w:val="HTMLPreformatted"/>
        <w:tabs>
          <w:tab w:val="clear" w:pos="916"/>
        </w:tabs>
        <w:ind w:left="1350"/>
        <w:rPr>
          <w:rFonts w:ascii="Times New Roman" w:hAnsi="Times New Roman" w:cs="Times New Roman"/>
          <w:sz w:val="24"/>
          <w:szCs w:val="24"/>
        </w:rPr>
      </w:pPr>
    </w:p>
    <w:p w:rsidR="00CA6C87" w:rsidRDefault="00BC4F30" w:rsidP="00CA6C87">
      <w:pPr>
        <w:pStyle w:val="HTMLPreformatted"/>
        <w:tabs>
          <w:tab w:val="clear" w:pos="916"/>
        </w:tabs>
        <w:ind w:left="1350"/>
        <w:rPr>
          <w:rFonts w:ascii="Times New Roman" w:hAnsi="Times New Roman" w:cs="Times New Roman"/>
          <w:sz w:val="24"/>
          <w:szCs w:val="24"/>
        </w:rPr>
      </w:pPr>
      <w:r w:rsidRPr="00BC4F30">
        <w:rPr>
          <w:rFonts w:ascii="Times New Roman" w:hAnsi="Times New Roman" w:cs="Times New Roman"/>
          <w:sz w:val="24"/>
          <w:szCs w:val="24"/>
        </w:rPr>
        <w:t>14.9</w:t>
      </w:r>
      <w:proofErr w:type="gramStart"/>
      <w:r w:rsidRPr="00BC4F30">
        <w:rPr>
          <w:rFonts w:ascii="Times New Roman" w:hAnsi="Times New Roman" w:cs="Times New Roman"/>
          <w:sz w:val="24"/>
          <w:szCs w:val="24"/>
        </w:rPr>
        <w:t>.c.2</w:t>
      </w:r>
      <w:proofErr w:type="gramEnd"/>
      <w:r w:rsidRPr="00BC4F30">
        <w:rPr>
          <w:rFonts w:ascii="Times New Roman" w:hAnsi="Times New Roman" w:cs="Times New Roman"/>
          <w:sz w:val="24"/>
          <w:szCs w:val="24"/>
        </w:rPr>
        <w:t>.  As providing that the salary paid by the agency shall continue to be paid to the employee while he or she is not performing the duties of his or her position with the state because of the services with the armed f</w:t>
      </w:r>
      <w:r w:rsidR="00CA6C87">
        <w:rPr>
          <w:rFonts w:ascii="Times New Roman" w:hAnsi="Times New Roman" w:cs="Times New Roman"/>
          <w:sz w:val="24"/>
          <w:szCs w:val="24"/>
        </w:rPr>
        <w:t>orces of the United States; or,</w:t>
      </w:r>
    </w:p>
    <w:p w:rsidR="00CA6C87" w:rsidRDefault="00CA6C87" w:rsidP="00CA6C87">
      <w:pPr>
        <w:pStyle w:val="HTMLPreformatted"/>
        <w:tabs>
          <w:tab w:val="clear" w:pos="916"/>
        </w:tabs>
        <w:ind w:left="1350"/>
        <w:rPr>
          <w:rFonts w:ascii="Times New Roman" w:hAnsi="Times New Roman" w:cs="Times New Roman"/>
          <w:sz w:val="24"/>
          <w:szCs w:val="24"/>
        </w:rPr>
      </w:pPr>
    </w:p>
    <w:p w:rsidR="00BC4F30" w:rsidRPr="00CB5C80" w:rsidRDefault="00BC4F30" w:rsidP="00CA6C87">
      <w:pPr>
        <w:pStyle w:val="HTMLPreformatted"/>
        <w:tabs>
          <w:tab w:val="clear" w:pos="916"/>
        </w:tabs>
        <w:ind w:left="1350"/>
        <w:rPr>
          <w:rFonts w:ascii="Times New Roman" w:hAnsi="Times New Roman" w:cs="Times New Roman"/>
          <w:sz w:val="24"/>
          <w:szCs w:val="24"/>
        </w:rPr>
      </w:pPr>
      <w:r w:rsidRPr="00BC4F30">
        <w:rPr>
          <w:rFonts w:ascii="Times New Roman" w:hAnsi="Times New Roman" w:cs="Times New Roman"/>
          <w:sz w:val="24"/>
          <w:szCs w:val="24"/>
        </w:rPr>
        <w:t>14.9</w:t>
      </w:r>
      <w:proofErr w:type="gramStart"/>
      <w:r w:rsidRPr="00BC4F30">
        <w:rPr>
          <w:rFonts w:ascii="Times New Roman" w:hAnsi="Times New Roman" w:cs="Times New Roman"/>
          <w:sz w:val="24"/>
          <w:szCs w:val="24"/>
        </w:rPr>
        <w:t>.c.3</w:t>
      </w:r>
      <w:proofErr w:type="gramEnd"/>
      <w:r w:rsidRPr="00BC4F30">
        <w:rPr>
          <w:rFonts w:ascii="Times New Roman" w:hAnsi="Times New Roman" w:cs="Times New Roman"/>
          <w:sz w:val="24"/>
          <w:szCs w:val="24"/>
        </w:rPr>
        <w:t>.  As having precedence over the provisions of any applicable federal statute, rule, or regulation regarding military leave or re-employment rights with which this subdivision is inconsistent or in conflict including, but not limited to, the Uniformed Services Employment and Reemployment Rights Act.</w:t>
      </w:r>
    </w:p>
    <w:sectPr w:rsidR="00BC4F30" w:rsidRPr="00CB5C80" w:rsidSect="00CB5C80">
      <w:pgSz w:w="12240" w:h="15840"/>
      <w:pgMar w:top="864" w:right="1440" w:bottom="864" w:left="1296"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492F8E"/>
    <w:multiLevelType w:val="hybridMultilevel"/>
    <w:tmpl w:val="D0B2E8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5CA"/>
    <w:rsid w:val="00002767"/>
    <w:rsid w:val="00003FE7"/>
    <w:rsid w:val="00027E60"/>
    <w:rsid w:val="0003444D"/>
    <w:rsid w:val="00041F98"/>
    <w:rsid w:val="00042803"/>
    <w:rsid w:val="000803B8"/>
    <w:rsid w:val="00085AAD"/>
    <w:rsid w:val="000A2BDD"/>
    <w:rsid w:val="000A3C2D"/>
    <w:rsid w:val="000B3636"/>
    <w:rsid w:val="000C3722"/>
    <w:rsid w:val="000D1450"/>
    <w:rsid w:val="000D3F1C"/>
    <w:rsid w:val="000E181F"/>
    <w:rsid w:val="00141F0D"/>
    <w:rsid w:val="00144DC5"/>
    <w:rsid w:val="00156942"/>
    <w:rsid w:val="00157E5D"/>
    <w:rsid w:val="0016216E"/>
    <w:rsid w:val="00163571"/>
    <w:rsid w:val="001641B8"/>
    <w:rsid w:val="00176470"/>
    <w:rsid w:val="00183976"/>
    <w:rsid w:val="0018418B"/>
    <w:rsid w:val="0019193D"/>
    <w:rsid w:val="001B4637"/>
    <w:rsid w:val="001D6FCE"/>
    <w:rsid w:val="001E7FA6"/>
    <w:rsid w:val="0022051A"/>
    <w:rsid w:val="00232808"/>
    <w:rsid w:val="00271006"/>
    <w:rsid w:val="00274ECB"/>
    <w:rsid w:val="002970AA"/>
    <w:rsid w:val="002B3D6C"/>
    <w:rsid w:val="002B3EE5"/>
    <w:rsid w:val="002D7956"/>
    <w:rsid w:val="002E7D7F"/>
    <w:rsid w:val="002F2D14"/>
    <w:rsid w:val="002F57BA"/>
    <w:rsid w:val="00303BCC"/>
    <w:rsid w:val="00306047"/>
    <w:rsid w:val="00345E9F"/>
    <w:rsid w:val="0035528A"/>
    <w:rsid w:val="0035606E"/>
    <w:rsid w:val="003A0365"/>
    <w:rsid w:val="003A3CDE"/>
    <w:rsid w:val="003B18E8"/>
    <w:rsid w:val="003B6265"/>
    <w:rsid w:val="003C7955"/>
    <w:rsid w:val="003C7E84"/>
    <w:rsid w:val="00404442"/>
    <w:rsid w:val="0041140F"/>
    <w:rsid w:val="00430BE9"/>
    <w:rsid w:val="00441208"/>
    <w:rsid w:val="004439DC"/>
    <w:rsid w:val="00447AC7"/>
    <w:rsid w:val="00487F96"/>
    <w:rsid w:val="004A1E82"/>
    <w:rsid w:val="004A2F87"/>
    <w:rsid w:val="004A2FCA"/>
    <w:rsid w:val="004B3CA9"/>
    <w:rsid w:val="004B5E50"/>
    <w:rsid w:val="004C391C"/>
    <w:rsid w:val="004D0623"/>
    <w:rsid w:val="004D2356"/>
    <w:rsid w:val="004F4D2B"/>
    <w:rsid w:val="004F5BEA"/>
    <w:rsid w:val="005717D7"/>
    <w:rsid w:val="005735CA"/>
    <w:rsid w:val="005826A0"/>
    <w:rsid w:val="00595FF3"/>
    <w:rsid w:val="005A5C5E"/>
    <w:rsid w:val="005B4C6D"/>
    <w:rsid w:val="005D4D79"/>
    <w:rsid w:val="006355CB"/>
    <w:rsid w:val="00645F87"/>
    <w:rsid w:val="006647AA"/>
    <w:rsid w:val="00686DB5"/>
    <w:rsid w:val="00697AC3"/>
    <w:rsid w:val="006B2374"/>
    <w:rsid w:val="006E318C"/>
    <w:rsid w:val="006E5089"/>
    <w:rsid w:val="006F375D"/>
    <w:rsid w:val="00705E85"/>
    <w:rsid w:val="007072E5"/>
    <w:rsid w:val="007238D4"/>
    <w:rsid w:val="00737252"/>
    <w:rsid w:val="00761DA8"/>
    <w:rsid w:val="00771A7C"/>
    <w:rsid w:val="007D1E99"/>
    <w:rsid w:val="007E6B3C"/>
    <w:rsid w:val="00805420"/>
    <w:rsid w:val="00812336"/>
    <w:rsid w:val="00817A92"/>
    <w:rsid w:val="008271C0"/>
    <w:rsid w:val="00830F20"/>
    <w:rsid w:val="00835A50"/>
    <w:rsid w:val="00837367"/>
    <w:rsid w:val="00845D46"/>
    <w:rsid w:val="00852005"/>
    <w:rsid w:val="0086461D"/>
    <w:rsid w:val="008675C7"/>
    <w:rsid w:val="00881CB5"/>
    <w:rsid w:val="00881F7E"/>
    <w:rsid w:val="0088750C"/>
    <w:rsid w:val="00887599"/>
    <w:rsid w:val="00894B65"/>
    <w:rsid w:val="008C2028"/>
    <w:rsid w:val="00907B40"/>
    <w:rsid w:val="00911B3F"/>
    <w:rsid w:val="00914AC5"/>
    <w:rsid w:val="009300B6"/>
    <w:rsid w:val="00931FBC"/>
    <w:rsid w:val="00950C16"/>
    <w:rsid w:val="00957922"/>
    <w:rsid w:val="00961075"/>
    <w:rsid w:val="00993AC0"/>
    <w:rsid w:val="009A6A8E"/>
    <w:rsid w:val="009D32AA"/>
    <w:rsid w:val="009D3C72"/>
    <w:rsid w:val="009E0F8A"/>
    <w:rsid w:val="00A0153C"/>
    <w:rsid w:val="00A058C5"/>
    <w:rsid w:val="00A1280A"/>
    <w:rsid w:val="00A23C2F"/>
    <w:rsid w:val="00A27FC6"/>
    <w:rsid w:val="00A32153"/>
    <w:rsid w:val="00A37970"/>
    <w:rsid w:val="00A4079F"/>
    <w:rsid w:val="00A46443"/>
    <w:rsid w:val="00A47985"/>
    <w:rsid w:val="00A573EB"/>
    <w:rsid w:val="00A65CB4"/>
    <w:rsid w:val="00A66342"/>
    <w:rsid w:val="00A74A01"/>
    <w:rsid w:val="00A95FA6"/>
    <w:rsid w:val="00AA255E"/>
    <w:rsid w:val="00AA2578"/>
    <w:rsid w:val="00AB1FA9"/>
    <w:rsid w:val="00AD2C17"/>
    <w:rsid w:val="00AD6E68"/>
    <w:rsid w:val="00AE48FB"/>
    <w:rsid w:val="00B012C6"/>
    <w:rsid w:val="00B069E1"/>
    <w:rsid w:val="00B425BE"/>
    <w:rsid w:val="00B76B1B"/>
    <w:rsid w:val="00B94EAB"/>
    <w:rsid w:val="00BA04E0"/>
    <w:rsid w:val="00BB20B4"/>
    <w:rsid w:val="00BC4F30"/>
    <w:rsid w:val="00BC5D7E"/>
    <w:rsid w:val="00BD0ADA"/>
    <w:rsid w:val="00BD177E"/>
    <w:rsid w:val="00BD1DDA"/>
    <w:rsid w:val="00BE5804"/>
    <w:rsid w:val="00BF062D"/>
    <w:rsid w:val="00C11370"/>
    <w:rsid w:val="00C24962"/>
    <w:rsid w:val="00C8114A"/>
    <w:rsid w:val="00C82AA1"/>
    <w:rsid w:val="00C967FE"/>
    <w:rsid w:val="00CA6C87"/>
    <w:rsid w:val="00CB1934"/>
    <w:rsid w:val="00CB3E03"/>
    <w:rsid w:val="00CB5C80"/>
    <w:rsid w:val="00CC3792"/>
    <w:rsid w:val="00CC4BA8"/>
    <w:rsid w:val="00CD2E91"/>
    <w:rsid w:val="00CD5739"/>
    <w:rsid w:val="00CD6848"/>
    <w:rsid w:val="00CE14AE"/>
    <w:rsid w:val="00CE5E64"/>
    <w:rsid w:val="00CF27B0"/>
    <w:rsid w:val="00D11F2B"/>
    <w:rsid w:val="00D163AF"/>
    <w:rsid w:val="00D31C02"/>
    <w:rsid w:val="00D35243"/>
    <w:rsid w:val="00D35850"/>
    <w:rsid w:val="00D35A21"/>
    <w:rsid w:val="00D3670E"/>
    <w:rsid w:val="00D5182B"/>
    <w:rsid w:val="00D53DEC"/>
    <w:rsid w:val="00DB296F"/>
    <w:rsid w:val="00DC20FF"/>
    <w:rsid w:val="00DF59B5"/>
    <w:rsid w:val="00DF6F1E"/>
    <w:rsid w:val="00E04B91"/>
    <w:rsid w:val="00E13323"/>
    <w:rsid w:val="00E331EC"/>
    <w:rsid w:val="00E541A5"/>
    <w:rsid w:val="00E54DC0"/>
    <w:rsid w:val="00E66786"/>
    <w:rsid w:val="00E67EA2"/>
    <w:rsid w:val="00E841EF"/>
    <w:rsid w:val="00E97177"/>
    <w:rsid w:val="00EA6FBF"/>
    <w:rsid w:val="00EC79F1"/>
    <w:rsid w:val="00EE4A4E"/>
    <w:rsid w:val="00EE5142"/>
    <w:rsid w:val="00EF60FE"/>
    <w:rsid w:val="00F001EA"/>
    <w:rsid w:val="00F0169F"/>
    <w:rsid w:val="00F34F9C"/>
    <w:rsid w:val="00F365DC"/>
    <w:rsid w:val="00F40010"/>
    <w:rsid w:val="00F529D8"/>
    <w:rsid w:val="00F72EBB"/>
    <w:rsid w:val="00F93A83"/>
    <w:rsid w:val="00FA0C07"/>
    <w:rsid w:val="00FB0914"/>
    <w:rsid w:val="00FB738F"/>
    <w:rsid w:val="00FC2A27"/>
    <w:rsid w:val="00FC7164"/>
    <w:rsid w:val="00FD01A5"/>
    <w:rsid w:val="00FE1859"/>
    <w:rsid w:val="00FE5BB1"/>
    <w:rsid w:val="00FF4020"/>
    <w:rsid w:val="00FF5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5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3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F365DC"/>
    <w:pPr>
      <w:shd w:val="clear" w:color="auto" w:fill="000080"/>
    </w:pPr>
    <w:rPr>
      <w:rFonts w:ascii="Tahoma" w:hAnsi="Tahoma" w:cs="Tahoma"/>
    </w:rPr>
  </w:style>
  <w:style w:type="character" w:styleId="Hyperlink">
    <w:name w:val="Hyperlink"/>
    <w:basedOn w:val="DefaultParagraphFont"/>
    <w:rsid w:val="00F001EA"/>
    <w:rPr>
      <w:strike w:val="0"/>
      <w:dstrike w:val="0"/>
      <w:color w:val="000080"/>
      <w:u w:val="none"/>
      <w:effect w:val="none"/>
    </w:rPr>
  </w:style>
  <w:style w:type="paragraph" w:styleId="HTMLPreformatted">
    <w:name w:val="HTML Preformatted"/>
    <w:basedOn w:val="Normal"/>
    <w:rsid w:val="00F00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 w:right="432"/>
    </w:pPr>
    <w:rPr>
      <w:rFonts w:ascii="Courier New" w:hAnsi="Courier New" w:cs="Courier New"/>
      <w:sz w:val="20"/>
      <w:szCs w:val="20"/>
    </w:rPr>
  </w:style>
  <w:style w:type="character" w:styleId="FollowedHyperlink">
    <w:name w:val="FollowedHyperlink"/>
    <w:basedOn w:val="DefaultParagraphFont"/>
    <w:uiPriority w:val="99"/>
    <w:semiHidden/>
    <w:unhideWhenUsed/>
    <w:rsid w:val="0088759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5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3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F365DC"/>
    <w:pPr>
      <w:shd w:val="clear" w:color="auto" w:fill="000080"/>
    </w:pPr>
    <w:rPr>
      <w:rFonts w:ascii="Tahoma" w:hAnsi="Tahoma" w:cs="Tahoma"/>
    </w:rPr>
  </w:style>
  <w:style w:type="character" w:styleId="Hyperlink">
    <w:name w:val="Hyperlink"/>
    <w:basedOn w:val="DefaultParagraphFont"/>
    <w:rsid w:val="00F001EA"/>
    <w:rPr>
      <w:strike w:val="0"/>
      <w:dstrike w:val="0"/>
      <w:color w:val="000080"/>
      <w:u w:val="none"/>
      <w:effect w:val="none"/>
    </w:rPr>
  </w:style>
  <w:style w:type="paragraph" w:styleId="HTMLPreformatted">
    <w:name w:val="HTML Preformatted"/>
    <w:basedOn w:val="Normal"/>
    <w:rsid w:val="00F00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 w:right="432"/>
    </w:pPr>
    <w:rPr>
      <w:rFonts w:ascii="Courier New" w:hAnsi="Courier New" w:cs="Courier New"/>
      <w:sz w:val="20"/>
      <w:szCs w:val="20"/>
    </w:rPr>
  </w:style>
  <w:style w:type="character" w:styleId="FollowedHyperlink">
    <w:name w:val="FollowedHyperlink"/>
    <w:basedOn w:val="DefaultParagraphFont"/>
    <w:uiPriority w:val="99"/>
    <w:semiHidden/>
    <w:unhideWhenUsed/>
    <w:rsid w:val="008875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8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ersonnel.wv.gov/employees/rules/policies/Pages/default.aspx"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s://personnel.wv.gov/agencies/Pages/Toolbox.aspx"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7495A18017A489477BA90A7DB4A2E" ma:contentTypeVersion="6" ma:contentTypeDescription="Create a new document." ma:contentTypeScope="" ma:versionID="6e45c52c64115e90f3ce4eb24c2f296a">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58AA31-FAC0-4758-8A20-FE197F7D25BC}"/>
</file>

<file path=customXml/itemProps2.xml><?xml version="1.0" encoding="utf-8"?>
<ds:datastoreItem xmlns:ds="http://schemas.openxmlformats.org/officeDocument/2006/customXml" ds:itemID="{6963D408-7E22-4ED8-A71C-8CA7AB660073}"/>
</file>

<file path=customXml/itemProps3.xml><?xml version="1.0" encoding="utf-8"?>
<ds:datastoreItem xmlns:ds="http://schemas.openxmlformats.org/officeDocument/2006/customXml" ds:itemID="{4B204C90-17D5-46C0-AABE-33C8EE5C9A85}"/>
</file>

<file path=docProps/app.xml><?xml version="1.0" encoding="utf-8"?>
<Properties xmlns="http://schemas.openxmlformats.org/officeDocument/2006/extended-properties" xmlns:vt="http://schemas.openxmlformats.org/officeDocument/2006/docPropsVTypes">
  <Template>Normal.dotm</Template>
  <TotalTime>3</TotalTime>
  <Pages>9</Pages>
  <Words>3346</Words>
  <Characters>16663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SUPERVISOR’S GUIDE TO</vt:lpstr>
    </vt:vector>
  </TitlesOfParts>
  <Company>WV Division of Personnel</Company>
  <LinksUpToDate>false</LinksUpToDate>
  <CharactersWithSpaces>19970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SUPERVISOR’S GUIDE TO</dc:title>
  <dc:creator>Penny Hall</dc:creator>
  <cp:lastModifiedBy>Joe F Thomas</cp:lastModifiedBy>
  <cp:revision>5</cp:revision>
  <cp:lastPrinted>2006-11-13T15:23:00Z</cp:lastPrinted>
  <dcterms:created xsi:type="dcterms:W3CDTF">2014-10-17T13:21:00Z</dcterms:created>
  <dcterms:modified xsi:type="dcterms:W3CDTF">2014-10-31T15:55:00Z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0x0101005187495A18017A489477BA90A7DB4A2E</vt:lpwstr>
  </property>
</Properties>
</file>